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9C50F" w14:textId="77777777" w:rsidR="006C7BC0" w:rsidRDefault="006C7BC0" w:rsidP="00C7695C">
      <w:pPr>
        <w:tabs>
          <w:tab w:val="left" w:pos="1350"/>
        </w:tabs>
      </w:pPr>
    </w:p>
    <w:p w14:paraId="21398D25" w14:textId="77777777" w:rsidR="00F92700" w:rsidRDefault="00F92700"/>
    <w:p w14:paraId="37E87CDD" w14:textId="77777777" w:rsidR="00F92700" w:rsidRDefault="00F92700"/>
    <w:p w14:paraId="6D0AFB81" w14:textId="77777777" w:rsidR="00F92700" w:rsidRDefault="00F92700"/>
    <w:p w14:paraId="1D013748" w14:textId="214E07D0" w:rsidR="00F92700" w:rsidRDefault="00F92700" w:rsidP="003A6F8A">
      <w:pPr>
        <w:pStyle w:val="BodyTextIndent"/>
        <w:ind w:left="0"/>
        <w:rPr>
          <w:b/>
          <w:sz w:val="24"/>
          <w:szCs w:val="24"/>
        </w:rPr>
      </w:pPr>
      <w:bookmarkStart w:id="0" w:name="_Toc135536387"/>
      <w:bookmarkStart w:id="1" w:name="_Toc135537278"/>
      <w:bookmarkStart w:id="2" w:name="_Toc135537413"/>
      <w:bookmarkStart w:id="3" w:name="_Toc135537547"/>
      <w:bookmarkStart w:id="4" w:name="_Toc135549326"/>
      <w:bookmarkStart w:id="5" w:name="_Toc135549459"/>
      <w:bookmarkStart w:id="6" w:name="_Toc136068087"/>
      <w:bookmarkStart w:id="7" w:name="_Toc136765894"/>
      <w:bookmarkStart w:id="8" w:name="_Toc137028000"/>
      <w:bookmarkStart w:id="9" w:name="_Toc137279487"/>
      <w:bookmarkStart w:id="10" w:name="_Toc137281013"/>
      <w:bookmarkStart w:id="11" w:name="_Toc137285449"/>
      <w:bookmarkStart w:id="12" w:name="_Toc137353507"/>
      <w:bookmarkStart w:id="13" w:name="_Toc137955135"/>
      <w:bookmarkStart w:id="14" w:name="_Toc137956201"/>
      <w:r w:rsidRPr="003C2BC8">
        <w:rPr>
          <w:b/>
          <w:sz w:val="24"/>
          <w:szCs w:val="24"/>
        </w:rPr>
        <w:t>GEORGIA POWER COMPANY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98E7581" w14:textId="5FA70CF8" w:rsidR="004C5F7C" w:rsidRDefault="004C5F7C" w:rsidP="003A6F8A">
      <w:pPr>
        <w:pStyle w:val="BodyTextIndent"/>
        <w:ind w:left="0"/>
        <w:rPr>
          <w:b/>
          <w:sz w:val="24"/>
          <w:szCs w:val="24"/>
        </w:rPr>
      </w:pPr>
    </w:p>
    <w:p w14:paraId="26A95E23" w14:textId="61444E66" w:rsidR="004C5F7C" w:rsidRDefault="004C5F7C" w:rsidP="003A6F8A">
      <w:pPr>
        <w:pStyle w:val="BodyTextIndent"/>
        <w:ind w:left="0"/>
        <w:rPr>
          <w:b/>
          <w:sz w:val="24"/>
          <w:szCs w:val="24"/>
        </w:rPr>
      </w:pPr>
    </w:p>
    <w:p w14:paraId="148098F7" w14:textId="35CD0DB4" w:rsidR="004C5F7C" w:rsidRDefault="004C5F7C" w:rsidP="003A6F8A">
      <w:pPr>
        <w:pStyle w:val="BodyTextIndent"/>
        <w:ind w:left="0"/>
        <w:rPr>
          <w:b/>
          <w:sz w:val="24"/>
          <w:szCs w:val="24"/>
        </w:rPr>
      </w:pPr>
    </w:p>
    <w:p w14:paraId="16938736" w14:textId="77777777" w:rsidR="004C5F7C" w:rsidRDefault="004C5F7C" w:rsidP="003A6F8A">
      <w:pPr>
        <w:pStyle w:val="BodyTextIndent"/>
        <w:ind w:left="0"/>
        <w:rPr>
          <w:b/>
          <w:sz w:val="24"/>
          <w:szCs w:val="24"/>
        </w:rPr>
      </w:pPr>
    </w:p>
    <w:p w14:paraId="29E33696" w14:textId="39C4482C" w:rsidR="004C5F7C" w:rsidRDefault="004C5F7C" w:rsidP="003A6F8A">
      <w:pPr>
        <w:pStyle w:val="BodyTextIndent"/>
        <w:ind w:left="0"/>
        <w:rPr>
          <w:b/>
          <w:sz w:val="24"/>
          <w:szCs w:val="24"/>
        </w:rPr>
      </w:pPr>
    </w:p>
    <w:p w14:paraId="3A11861E" w14:textId="77777777" w:rsidR="004C5F7C" w:rsidRPr="004C5F7C" w:rsidRDefault="004C5F7C" w:rsidP="003A6F8A">
      <w:pPr>
        <w:pStyle w:val="BodyTextIndent"/>
        <w:ind w:left="0"/>
        <w:rPr>
          <w:b/>
          <w:sz w:val="24"/>
          <w:szCs w:val="24"/>
        </w:rPr>
      </w:pPr>
    </w:p>
    <w:p w14:paraId="52B288AA" w14:textId="568C851F" w:rsidR="00F92700" w:rsidRPr="003A3426" w:rsidRDefault="00F92700" w:rsidP="00F92700">
      <w:pPr>
        <w:rPr>
          <w:sz w:val="32"/>
          <w:szCs w:val="32"/>
        </w:rPr>
      </w:pPr>
      <w:bookmarkStart w:id="15" w:name="_Toc135536388"/>
      <w:bookmarkStart w:id="16" w:name="_Toc135537279"/>
      <w:bookmarkStart w:id="17" w:name="_Toc135537414"/>
      <w:bookmarkStart w:id="18" w:name="_Toc135537548"/>
      <w:bookmarkStart w:id="19" w:name="_Toc135549327"/>
      <w:bookmarkStart w:id="20" w:name="_Toc135549460"/>
      <w:bookmarkStart w:id="21" w:name="_Toc136068088"/>
      <w:bookmarkStart w:id="22" w:name="_Toc136765895"/>
      <w:bookmarkStart w:id="23" w:name="_Toc137028001"/>
      <w:bookmarkStart w:id="24" w:name="_Toc137279488"/>
      <w:bookmarkStart w:id="25" w:name="_Toc137281014"/>
      <w:bookmarkStart w:id="26" w:name="_Toc137285450"/>
      <w:bookmarkStart w:id="27" w:name="_Toc137353508"/>
      <w:bookmarkStart w:id="28" w:name="_Toc137955136"/>
      <w:bookmarkStart w:id="29" w:name="_Toc137956202"/>
      <w:r w:rsidRPr="003A3426">
        <w:rPr>
          <w:sz w:val="32"/>
          <w:szCs w:val="32"/>
        </w:rPr>
        <w:t xml:space="preserve">BUDGET </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00C84CCE" w:rsidRPr="003A3426">
        <w:rPr>
          <w:sz w:val="32"/>
          <w:szCs w:val="32"/>
        </w:rPr>
        <w:t>20</w:t>
      </w:r>
      <w:r w:rsidR="00C84CCE">
        <w:rPr>
          <w:sz w:val="32"/>
          <w:szCs w:val="32"/>
        </w:rPr>
        <w:t>25</w:t>
      </w:r>
    </w:p>
    <w:p w14:paraId="2631D4D9" w14:textId="77777777" w:rsidR="00F92700" w:rsidRPr="003A3426" w:rsidRDefault="00F92700" w:rsidP="00F92700">
      <w:pPr>
        <w:rPr>
          <w:sz w:val="32"/>
          <w:szCs w:val="32"/>
        </w:rPr>
      </w:pPr>
      <w:bookmarkStart w:id="30" w:name="_Toc135536389"/>
      <w:bookmarkStart w:id="31" w:name="_Toc135537280"/>
      <w:bookmarkStart w:id="32" w:name="_Toc135537415"/>
      <w:bookmarkStart w:id="33" w:name="_Toc135537549"/>
      <w:bookmarkStart w:id="34" w:name="_Toc135549328"/>
      <w:bookmarkStart w:id="35" w:name="_Toc135549461"/>
      <w:bookmarkStart w:id="36" w:name="_Toc136068089"/>
      <w:bookmarkStart w:id="37" w:name="_Toc136765896"/>
      <w:bookmarkStart w:id="38" w:name="_Toc137028002"/>
      <w:bookmarkStart w:id="39" w:name="_Toc137279489"/>
      <w:bookmarkStart w:id="40" w:name="_Toc137281015"/>
      <w:bookmarkStart w:id="41" w:name="_Toc137285451"/>
      <w:bookmarkStart w:id="42" w:name="_Toc137353509"/>
      <w:bookmarkStart w:id="43" w:name="_Toc137955137"/>
      <w:bookmarkStart w:id="44" w:name="_Toc137956203"/>
      <w:r w:rsidRPr="003A3426">
        <w:rPr>
          <w:sz w:val="32"/>
          <w:szCs w:val="32"/>
        </w:rPr>
        <w:t>LOAD AND ENERGY FORECAST</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37E89E3D" w14:textId="23257998" w:rsidR="00F92700" w:rsidRDefault="00C84CCE" w:rsidP="004C5F7C">
      <w:pPr>
        <w:rPr>
          <w:sz w:val="32"/>
          <w:szCs w:val="32"/>
        </w:rPr>
      </w:pPr>
      <w:bookmarkStart w:id="45" w:name="_Toc135536390"/>
      <w:bookmarkStart w:id="46" w:name="_Toc135537281"/>
      <w:bookmarkStart w:id="47" w:name="_Toc135537416"/>
      <w:bookmarkStart w:id="48" w:name="_Toc135537550"/>
      <w:bookmarkStart w:id="49" w:name="_Toc135549329"/>
      <w:bookmarkStart w:id="50" w:name="_Toc135549462"/>
      <w:bookmarkStart w:id="51" w:name="_Toc136068090"/>
      <w:bookmarkStart w:id="52" w:name="_Toc136765897"/>
      <w:bookmarkStart w:id="53" w:name="_Toc137028003"/>
      <w:bookmarkStart w:id="54" w:name="_Toc137279490"/>
      <w:bookmarkStart w:id="55" w:name="_Toc137281016"/>
      <w:bookmarkStart w:id="56" w:name="_Toc137285452"/>
      <w:bookmarkStart w:id="57" w:name="_Toc137353510"/>
      <w:bookmarkStart w:id="58" w:name="_Toc137955138"/>
      <w:bookmarkStart w:id="59" w:name="_Toc137956204"/>
      <w:r w:rsidRPr="003A3426">
        <w:rPr>
          <w:sz w:val="32"/>
          <w:szCs w:val="32"/>
        </w:rPr>
        <w:t>20</w:t>
      </w:r>
      <w:r>
        <w:rPr>
          <w:sz w:val="32"/>
          <w:szCs w:val="32"/>
        </w:rPr>
        <w:t>25</w:t>
      </w:r>
      <w:r w:rsidRPr="003A3426">
        <w:rPr>
          <w:sz w:val="32"/>
          <w:szCs w:val="32"/>
        </w:rPr>
        <w:t xml:space="preserve"> </w:t>
      </w:r>
      <w:r w:rsidR="00F92700" w:rsidRPr="003A3426">
        <w:rPr>
          <w:sz w:val="32"/>
          <w:szCs w:val="32"/>
        </w:rPr>
        <w:t xml:space="preserve">TO </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A3426">
        <w:rPr>
          <w:sz w:val="32"/>
          <w:szCs w:val="32"/>
        </w:rPr>
        <w:t>20</w:t>
      </w:r>
      <w:r>
        <w:rPr>
          <w:sz w:val="32"/>
          <w:szCs w:val="32"/>
        </w:rPr>
        <w:t>44</w:t>
      </w:r>
    </w:p>
    <w:p w14:paraId="4BF994F4" w14:textId="0B4271BB" w:rsidR="004C5F7C" w:rsidRDefault="004C5F7C" w:rsidP="004C5F7C">
      <w:pPr>
        <w:rPr>
          <w:sz w:val="32"/>
          <w:szCs w:val="32"/>
        </w:rPr>
      </w:pPr>
    </w:p>
    <w:p w14:paraId="0F11D5EC" w14:textId="23C7FDA0" w:rsidR="004C5F7C" w:rsidRDefault="004C5F7C" w:rsidP="004C5F7C">
      <w:pPr>
        <w:rPr>
          <w:sz w:val="32"/>
          <w:szCs w:val="32"/>
        </w:rPr>
      </w:pPr>
    </w:p>
    <w:p w14:paraId="4A59AECD" w14:textId="49CCAE1A" w:rsidR="004C5F7C" w:rsidRDefault="004C5F7C" w:rsidP="004C5F7C">
      <w:pPr>
        <w:rPr>
          <w:sz w:val="32"/>
          <w:szCs w:val="32"/>
        </w:rPr>
      </w:pPr>
    </w:p>
    <w:p w14:paraId="4C3FF49C" w14:textId="448A3C33" w:rsidR="004C5F7C" w:rsidRDefault="004C5F7C" w:rsidP="004C5F7C">
      <w:pPr>
        <w:rPr>
          <w:sz w:val="32"/>
          <w:szCs w:val="32"/>
        </w:rPr>
      </w:pPr>
    </w:p>
    <w:p w14:paraId="06345C0E" w14:textId="0D200F4B" w:rsidR="004C5F7C" w:rsidRDefault="004C5F7C" w:rsidP="004C5F7C">
      <w:pPr>
        <w:rPr>
          <w:sz w:val="32"/>
          <w:szCs w:val="32"/>
        </w:rPr>
      </w:pPr>
    </w:p>
    <w:p w14:paraId="21F76286" w14:textId="6EA0B2F7" w:rsidR="004C5F7C" w:rsidRDefault="004C5F7C" w:rsidP="004C5F7C">
      <w:pPr>
        <w:rPr>
          <w:sz w:val="32"/>
          <w:szCs w:val="32"/>
        </w:rPr>
      </w:pPr>
    </w:p>
    <w:p w14:paraId="25FEB1D5" w14:textId="77777777" w:rsidR="004C5F7C" w:rsidRPr="004C5F7C" w:rsidRDefault="004C5F7C" w:rsidP="004C5F7C">
      <w:pPr>
        <w:rPr>
          <w:sz w:val="32"/>
          <w:szCs w:val="32"/>
        </w:rPr>
      </w:pPr>
    </w:p>
    <w:p w14:paraId="720B6B0A" w14:textId="77777777" w:rsidR="00F92700" w:rsidRPr="003A3426" w:rsidRDefault="00F92700" w:rsidP="00F92700">
      <w:pPr>
        <w:rPr>
          <w:sz w:val="24"/>
          <w:szCs w:val="24"/>
        </w:rPr>
      </w:pPr>
      <w:bookmarkStart w:id="60" w:name="_Toc135536391"/>
      <w:bookmarkStart w:id="61" w:name="_Toc135537282"/>
      <w:bookmarkStart w:id="62" w:name="_Toc135537417"/>
      <w:bookmarkStart w:id="63" w:name="_Toc135537551"/>
      <w:bookmarkStart w:id="64" w:name="_Toc135549330"/>
      <w:bookmarkStart w:id="65" w:name="_Toc135549463"/>
      <w:bookmarkStart w:id="66" w:name="_Toc136068091"/>
      <w:bookmarkStart w:id="67" w:name="_Toc136765898"/>
      <w:bookmarkStart w:id="68" w:name="_Toc137028004"/>
      <w:bookmarkStart w:id="69" w:name="_Toc137279491"/>
      <w:bookmarkStart w:id="70" w:name="_Toc137281017"/>
      <w:bookmarkStart w:id="71" w:name="_Toc137285453"/>
      <w:bookmarkStart w:id="72" w:name="_Toc137353511"/>
      <w:bookmarkStart w:id="73" w:name="_Toc137955139"/>
      <w:bookmarkStart w:id="74" w:name="_Toc137956205"/>
      <w:r w:rsidRPr="003A3426">
        <w:rPr>
          <w:sz w:val="24"/>
          <w:szCs w:val="24"/>
        </w:rPr>
        <w:t>Prepared by:</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B165984" w14:textId="77777777" w:rsidR="00F92700" w:rsidRDefault="00F92700" w:rsidP="003C2BC8">
      <w:pPr>
        <w:pStyle w:val="BodyTextIndent"/>
        <w:ind w:left="0"/>
        <w:rPr>
          <w:sz w:val="24"/>
          <w:szCs w:val="24"/>
        </w:rPr>
      </w:pPr>
      <w:r w:rsidRPr="003A3426">
        <w:rPr>
          <w:b/>
          <w:sz w:val="24"/>
          <w:szCs w:val="24"/>
        </w:rPr>
        <w:t>Georgia Power Company</w:t>
      </w:r>
    </w:p>
    <w:p w14:paraId="6374F298" w14:textId="77777777" w:rsidR="00A47EB3" w:rsidRDefault="00F92700">
      <w:pPr>
        <w:spacing w:after="200" w:line="276" w:lineRule="auto"/>
        <w:jc w:val="left"/>
        <w:rPr>
          <w:sz w:val="24"/>
          <w:szCs w:val="24"/>
        </w:rPr>
        <w:sectPr w:rsidR="00A47EB3" w:rsidSect="00A47EB3">
          <w:headerReference w:type="default" r:id="rId8"/>
          <w:footerReference w:type="default" r:id="rId9"/>
          <w:pgSz w:w="12240" w:h="15840"/>
          <w:pgMar w:top="1440" w:right="1800" w:bottom="1440" w:left="1267" w:header="720" w:footer="720" w:gutter="0"/>
          <w:pgNumType w:fmt="lowerRoman" w:start="1"/>
          <w:cols w:space="720"/>
        </w:sectPr>
      </w:pPr>
      <w:r>
        <w:rPr>
          <w:sz w:val="24"/>
          <w:szCs w:val="24"/>
        </w:rPr>
        <w:br w:type="page"/>
      </w:r>
    </w:p>
    <w:p w14:paraId="188BA2AA" w14:textId="77777777" w:rsidR="00F92700" w:rsidRDefault="00F92700">
      <w:pPr>
        <w:spacing w:after="200" w:line="276" w:lineRule="auto"/>
        <w:jc w:val="left"/>
        <w:rPr>
          <w:sz w:val="24"/>
          <w:szCs w:val="24"/>
        </w:rPr>
      </w:pPr>
    </w:p>
    <w:p w14:paraId="3FEC0762" w14:textId="77777777" w:rsidR="008E1CE2" w:rsidRPr="003A3426" w:rsidRDefault="008E1CE2" w:rsidP="008E1CE2">
      <w:pPr>
        <w:pStyle w:val="BodyText"/>
        <w:rPr>
          <w:b w:val="0"/>
          <w:sz w:val="32"/>
          <w:szCs w:val="32"/>
        </w:rPr>
      </w:pPr>
      <w:bookmarkStart w:id="75" w:name="_Toc135536393"/>
      <w:bookmarkStart w:id="76" w:name="_Toc135537284"/>
      <w:bookmarkStart w:id="77" w:name="_Toc135537419"/>
      <w:bookmarkStart w:id="78" w:name="_Toc135537553"/>
      <w:bookmarkStart w:id="79" w:name="_Toc135549332"/>
      <w:bookmarkStart w:id="80" w:name="_Toc135549465"/>
      <w:bookmarkStart w:id="81" w:name="_Toc136068093"/>
      <w:bookmarkStart w:id="82" w:name="_Toc136765900"/>
      <w:bookmarkStart w:id="83" w:name="_Toc137028006"/>
      <w:bookmarkStart w:id="84" w:name="_Toc137279493"/>
      <w:bookmarkStart w:id="85" w:name="_Toc137281019"/>
      <w:bookmarkStart w:id="86" w:name="_Toc137285455"/>
      <w:bookmarkStart w:id="87" w:name="_Toc137353513"/>
      <w:bookmarkStart w:id="88" w:name="_Toc137955141"/>
      <w:bookmarkStart w:id="89" w:name="_Toc137956207"/>
      <w:r w:rsidRPr="003A3426">
        <w:rPr>
          <w:sz w:val="32"/>
          <w:szCs w:val="32"/>
        </w:rPr>
        <w:t>Georgia Power Company</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CE41A35" w14:textId="090C70C1" w:rsidR="008E1CE2" w:rsidRPr="003A3426" w:rsidRDefault="008E1CE2" w:rsidP="008E1CE2">
      <w:pPr>
        <w:rPr>
          <w:sz w:val="32"/>
          <w:szCs w:val="32"/>
        </w:rPr>
      </w:pPr>
      <w:bookmarkStart w:id="90" w:name="_Toc135536394"/>
      <w:bookmarkStart w:id="91" w:name="_Toc135537285"/>
      <w:bookmarkStart w:id="92" w:name="_Toc135537420"/>
      <w:bookmarkStart w:id="93" w:name="_Toc135537554"/>
      <w:bookmarkStart w:id="94" w:name="_Toc135549333"/>
      <w:bookmarkStart w:id="95" w:name="_Toc135549466"/>
      <w:bookmarkStart w:id="96" w:name="_Toc136068094"/>
      <w:bookmarkStart w:id="97" w:name="_Toc136765901"/>
      <w:bookmarkStart w:id="98" w:name="_Toc137028007"/>
      <w:bookmarkStart w:id="99" w:name="_Toc137279494"/>
      <w:bookmarkStart w:id="100" w:name="_Toc137281020"/>
      <w:bookmarkStart w:id="101" w:name="_Toc137285456"/>
      <w:bookmarkStart w:id="102" w:name="_Toc137353514"/>
      <w:bookmarkStart w:id="103" w:name="_Toc137955142"/>
      <w:bookmarkStart w:id="104" w:name="_Toc137956208"/>
      <w:r w:rsidRPr="003A3426">
        <w:rPr>
          <w:sz w:val="32"/>
          <w:szCs w:val="32"/>
        </w:rPr>
        <w:t xml:space="preserve">Budget </w:t>
      </w:r>
      <w:r w:rsidR="00C84CCE" w:rsidRPr="003A3426">
        <w:rPr>
          <w:sz w:val="32"/>
          <w:szCs w:val="32"/>
        </w:rPr>
        <w:t>20</w:t>
      </w:r>
      <w:r w:rsidR="00C84CCE">
        <w:rPr>
          <w:sz w:val="32"/>
          <w:szCs w:val="32"/>
        </w:rPr>
        <w:t>25</w:t>
      </w:r>
      <w:r w:rsidR="00C84CCE" w:rsidRPr="003A3426">
        <w:rPr>
          <w:sz w:val="32"/>
          <w:szCs w:val="32"/>
        </w:rPr>
        <w:t xml:space="preserve"> </w:t>
      </w:r>
      <w:r w:rsidRPr="003A3426">
        <w:rPr>
          <w:sz w:val="32"/>
          <w:szCs w:val="32"/>
        </w:rPr>
        <w:t>Load and Energy Forecast</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35CE5AC4" w14:textId="77777777" w:rsidR="008E1CE2" w:rsidRPr="003A3426" w:rsidRDefault="008E1CE2" w:rsidP="008E1CE2">
      <w:pPr>
        <w:rPr>
          <w:sz w:val="32"/>
          <w:szCs w:val="32"/>
        </w:rPr>
      </w:pPr>
    </w:p>
    <w:p w14:paraId="487CE02D" w14:textId="77777777" w:rsidR="008E1CE2" w:rsidRPr="003A3426" w:rsidRDefault="008E1CE2" w:rsidP="008E1CE2">
      <w:pPr>
        <w:rPr>
          <w:sz w:val="32"/>
          <w:szCs w:val="32"/>
        </w:rPr>
      </w:pPr>
      <w:bookmarkStart w:id="105" w:name="_Toc135536395"/>
      <w:bookmarkStart w:id="106" w:name="_Toc135537286"/>
      <w:bookmarkStart w:id="107" w:name="_Toc135537421"/>
      <w:bookmarkStart w:id="108" w:name="_Toc135537555"/>
      <w:bookmarkStart w:id="109" w:name="_Toc135549334"/>
      <w:bookmarkStart w:id="110" w:name="_Toc135549467"/>
      <w:bookmarkStart w:id="111" w:name="_Toc136068095"/>
      <w:bookmarkStart w:id="112" w:name="_Toc136765902"/>
      <w:bookmarkStart w:id="113" w:name="_Toc137028008"/>
      <w:bookmarkStart w:id="114" w:name="_Toc137279495"/>
      <w:bookmarkStart w:id="115" w:name="_Toc137281021"/>
      <w:bookmarkStart w:id="116" w:name="_Toc137285457"/>
      <w:bookmarkStart w:id="117" w:name="_Toc137353515"/>
      <w:bookmarkStart w:id="118" w:name="_Toc137955143"/>
      <w:bookmarkStart w:id="119" w:name="_Toc137956209"/>
      <w:r w:rsidRPr="003A3426">
        <w:rPr>
          <w:sz w:val="32"/>
          <w:szCs w:val="32"/>
        </w:rPr>
        <w:t>Table of Contents</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9B1096B" w14:textId="77777777" w:rsidR="008E1CE2" w:rsidRPr="003A3426" w:rsidRDefault="008E1CE2" w:rsidP="008E1CE2">
      <w:pPr>
        <w:pStyle w:val="BodyText"/>
        <w:jc w:val="left"/>
        <w:rPr>
          <w:sz w:val="32"/>
          <w:szCs w:val="32"/>
        </w:rPr>
      </w:pPr>
    </w:p>
    <w:sdt>
      <w:sdtPr>
        <w:rPr>
          <w:rFonts w:ascii="Arial" w:eastAsia="Times New Roman" w:hAnsi="Arial" w:cs="Arial"/>
          <w:bCs w:val="0"/>
          <w:color w:val="auto"/>
          <w:sz w:val="20"/>
          <w:szCs w:val="20"/>
          <w:lang w:eastAsia="en-US"/>
        </w:rPr>
        <w:id w:val="21299971"/>
        <w:docPartObj>
          <w:docPartGallery w:val="Table of Contents"/>
          <w:docPartUnique/>
        </w:docPartObj>
      </w:sdtPr>
      <w:sdtEndPr>
        <w:rPr>
          <w:noProof/>
        </w:rPr>
      </w:sdtEndPr>
      <w:sdtContent>
        <w:p w14:paraId="17C33D5E" w14:textId="77777777" w:rsidR="00082868" w:rsidRDefault="00082868">
          <w:pPr>
            <w:pStyle w:val="TOCHeading"/>
          </w:pPr>
          <w:r>
            <w:t>Table of Contents</w:t>
          </w:r>
        </w:p>
        <w:p w14:paraId="2A7D385D" w14:textId="5FB8EDAD" w:rsidR="009C019A" w:rsidRDefault="00082868">
          <w:pPr>
            <w:pStyle w:val="TOC1"/>
            <w:rPr>
              <w:rFonts w:asciiTheme="minorHAnsi" w:eastAsiaTheme="minorEastAsia" w:hAnsiTheme="minorHAnsi" w:cstheme="minorBidi"/>
              <w:bCs w:val="0"/>
              <w:caps w:val="0"/>
              <w:kern w:val="2"/>
              <w:szCs w:val="24"/>
              <w14:ligatures w14:val="standardContextual"/>
            </w:rPr>
          </w:pPr>
          <w:r>
            <w:fldChar w:fldCharType="begin"/>
          </w:r>
          <w:r>
            <w:instrText xml:space="preserve"> TOC \o "1-3" \h \z \u </w:instrText>
          </w:r>
          <w:r>
            <w:fldChar w:fldCharType="separate"/>
          </w:r>
          <w:hyperlink w:anchor="_Toc189162562" w:history="1">
            <w:r w:rsidR="009C019A" w:rsidRPr="00123F7D">
              <w:rPr>
                <w:rStyle w:val="Hyperlink"/>
                <w:b/>
              </w:rPr>
              <w:t>1.0</w:t>
            </w:r>
            <w:r w:rsidR="009C019A">
              <w:rPr>
                <w:rFonts w:asciiTheme="minorHAnsi" w:eastAsiaTheme="minorEastAsia" w:hAnsiTheme="minorHAnsi" w:cstheme="minorBidi"/>
                <w:bCs w:val="0"/>
                <w:caps w:val="0"/>
                <w:kern w:val="2"/>
                <w:szCs w:val="24"/>
                <w14:ligatures w14:val="standardContextual"/>
              </w:rPr>
              <w:tab/>
            </w:r>
            <w:r w:rsidR="009C019A" w:rsidRPr="00123F7D">
              <w:rPr>
                <w:rStyle w:val="Hyperlink"/>
                <w:b/>
              </w:rPr>
              <w:t>EXECUTIVE SUMMARY OVERVIEW</w:t>
            </w:r>
            <w:r w:rsidR="009C019A">
              <w:rPr>
                <w:webHidden/>
              </w:rPr>
              <w:tab/>
            </w:r>
            <w:r w:rsidR="009C019A">
              <w:rPr>
                <w:webHidden/>
              </w:rPr>
              <w:fldChar w:fldCharType="begin"/>
            </w:r>
            <w:r w:rsidR="009C019A">
              <w:rPr>
                <w:webHidden/>
              </w:rPr>
              <w:instrText xml:space="preserve"> PAGEREF _Toc189162562 \h </w:instrText>
            </w:r>
            <w:r w:rsidR="009C019A">
              <w:rPr>
                <w:webHidden/>
              </w:rPr>
            </w:r>
            <w:r w:rsidR="009C019A">
              <w:rPr>
                <w:webHidden/>
              </w:rPr>
              <w:fldChar w:fldCharType="separate"/>
            </w:r>
            <w:r w:rsidR="009C019A">
              <w:rPr>
                <w:webHidden/>
              </w:rPr>
              <w:t>1</w:t>
            </w:r>
            <w:r w:rsidR="009C019A">
              <w:rPr>
                <w:webHidden/>
              </w:rPr>
              <w:fldChar w:fldCharType="end"/>
            </w:r>
          </w:hyperlink>
        </w:p>
        <w:p w14:paraId="20E810D8" w14:textId="6A750212"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63" w:history="1">
            <w:r w:rsidRPr="00123F7D">
              <w:rPr>
                <w:rStyle w:val="Hyperlink"/>
                <w:b/>
              </w:rPr>
              <w:t>1.1</w:t>
            </w:r>
            <w:r>
              <w:rPr>
                <w:rFonts w:asciiTheme="minorHAnsi" w:eastAsiaTheme="minorEastAsia" w:hAnsiTheme="minorHAnsi" w:cstheme="minorBidi"/>
                <w:bCs w:val="0"/>
                <w:caps w:val="0"/>
                <w:kern w:val="2"/>
                <w:szCs w:val="24"/>
                <w14:ligatures w14:val="standardContextual"/>
              </w:rPr>
              <w:tab/>
            </w:r>
            <w:r w:rsidRPr="00123F7D">
              <w:rPr>
                <w:rStyle w:val="Hyperlink"/>
                <w:b/>
              </w:rPr>
              <w:t>SUMMER AND WINTER PEAK DEMAND</w:t>
            </w:r>
            <w:r>
              <w:rPr>
                <w:webHidden/>
              </w:rPr>
              <w:tab/>
            </w:r>
            <w:r>
              <w:rPr>
                <w:webHidden/>
              </w:rPr>
              <w:fldChar w:fldCharType="begin"/>
            </w:r>
            <w:r>
              <w:rPr>
                <w:webHidden/>
              </w:rPr>
              <w:instrText xml:space="preserve"> PAGEREF _Toc189162563 \h </w:instrText>
            </w:r>
            <w:r>
              <w:rPr>
                <w:webHidden/>
              </w:rPr>
            </w:r>
            <w:r>
              <w:rPr>
                <w:webHidden/>
              </w:rPr>
              <w:fldChar w:fldCharType="separate"/>
            </w:r>
            <w:r>
              <w:rPr>
                <w:webHidden/>
              </w:rPr>
              <w:t>2</w:t>
            </w:r>
            <w:r>
              <w:rPr>
                <w:webHidden/>
              </w:rPr>
              <w:fldChar w:fldCharType="end"/>
            </w:r>
          </w:hyperlink>
        </w:p>
        <w:p w14:paraId="01DAFCC6" w14:textId="56AD32FD"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64" w:history="1">
            <w:r w:rsidRPr="00123F7D">
              <w:rPr>
                <w:rStyle w:val="Hyperlink"/>
                <w:b/>
              </w:rPr>
              <w:t>1.2</w:t>
            </w:r>
            <w:r>
              <w:rPr>
                <w:rFonts w:asciiTheme="minorHAnsi" w:eastAsiaTheme="minorEastAsia" w:hAnsiTheme="minorHAnsi" w:cstheme="minorBidi"/>
                <w:bCs w:val="0"/>
                <w:caps w:val="0"/>
                <w:kern w:val="2"/>
                <w:szCs w:val="24"/>
                <w14:ligatures w14:val="standardContextual"/>
              </w:rPr>
              <w:tab/>
            </w:r>
            <w:r w:rsidRPr="00123F7D">
              <w:rPr>
                <w:rStyle w:val="Hyperlink"/>
                <w:b/>
              </w:rPr>
              <w:t>ENERGY SALES</w:t>
            </w:r>
            <w:r>
              <w:rPr>
                <w:webHidden/>
              </w:rPr>
              <w:tab/>
            </w:r>
            <w:r>
              <w:rPr>
                <w:webHidden/>
              </w:rPr>
              <w:fldChar w:fldCharType="begin"/>
            </w:r>
            <w:r>
              <w:rPr>
                <w:webHidden/>
              </w:rPr>
              <w:instrText xml:space="preserve"> PAGEREF _Toc189162564 \h </w:instrText>
            </w:r>
            <w:r>
              <w:rPr>
                <w:webHidden/>
              </w:rPr>
            </w:r>
            <w:r>
              <w:rPr>
                <w:webHidden/>
              </w:rPr>
              <w:fldChar w:fldCharType="separate"/>
            </w:r>
            <w:r>
              <w:rPr>
                <w:webHidden/>
              </w:rPr>
              <w:t>6</w:t>
            </w:r>
            <w:r>
              <w:rPr>
                <w:webHidden/>
              </w:rPr>
              <w:fldChar w:fldCharType="end"/>
            </w:r>
          </w:hyperlink>
        </w:p>
        <w:p w14:paraId="491FE449" w14:textId="722BBE5A"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65" w:history="1">
            <w:r w:rsidRPr="00123F7D">
              <w:rPr>
                <w:rStyle w:val="Hyperlink"/>
                <w:noProof/>
              </w:rPr>
              <w:t xml:space="preserve">1.2.1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Territorial</w:t>
            </w:r>
            <w:r>
              <w:rPr>
                <w:noProof/>
                <w:webHidden/>
              </w:rPr>
              <w:tab/>
            </w:r>
            <w:r>
              <w:rPr>
                <w:noProof/>
                <w:webHidden/>
              </w:rPr>
              <w:fldChar w:fldCharType="begin"/>
            </w:r>
            <w:r>
              <w:rPr>
                <w:noProof/>
                <w:webHidden/>
              </w:rPr>
              <w:instrText xml:space="preserve"> PAGEREF _Toc189162565 \h </w:instrText>
            </w:r>
            <w:r>
              <w:rPr>
                <w:noProof/>
                <w:webHidden/>
              </w:rPr>
            </w:r>
            <w:r>
              <w:rPr>
                <w:noProof/>
                <w:webHidden/>
              </w:rPr>
              <w:fldChar w:fldCharType="separate"/>
            </w:r>
            <w:r>
              <w:rPr>
                <w:noProof/>
                <w:webHidden/>
              </w:rPr>
              <w:t>6</w:t>
            </w:r>
            <w:r>
              <w:rPr>
                <w:noProof/>
                <w:webHidden/>
              </w:rPr>
              <w:fldChar w:fldCharType="end"/>
            </w:r>
          </w:hyperlink>
        </w:p>
        <w:p w14:paraId="6785B2BD" w14:textId="44FB48C0"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66" w:history="1">
            <w:r w:rsidRPr="00123F7D">
              <w:rPr>
                <w:rStyle w:val="Hyperlink"/>
                <w:noProof/>
              </w:rPr>
              <w:t xml:space="preserve">1.2.2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Residential</w:t>
            </w:r>
            <w:r>
              <w:rPr>
                <w:noProof/>
                <w:webHidden/>
              </w:rPr>
              <w:tab/>
            </w:r>
            <w:r>
              <w:rPr>
                <w:noProof/>
                <w:webHidden/>
              </w:rPr>
              <w:fldChar w:fldCharType="begin"/>
            </w:r>
            <w:r>
              <w:rPr>
                <w:noProof/>
                <w:webHidden/>
              </w:rPr>
              <w:instrText xml:space="preserve"> PAGEREF _Toc189162566 \h </w:instrText>
            </w:r>
            <w:r>
              <w:rPr>
                <w:noProof/>
                <w:webHidden/>
              </w:rPr>
            </w:r>
            <w:r>
              <w:rPr>
                <w:noProof/>
                <w:webHidden/>
              </w:rPr>
              <w:fldChar w:fldCharType="separate"/>
            </w:r>
            <w:r>
              <w:rPr>
                <w:noProof/>
                <w:webHidden/>
              </w:rPr>
              <w:t>7</w:t>
            </w:r>
            <w:r>
              <w:rPr>
                <w:noProof/>
                <w:webHidden/>
              </w:rPr>
              <w:fldChar w:fldCharType="end"/>
            </w:r>
          </w:hyperlink>
        </w:p>
        <w:p w14:paraId="0F26F4EC" w14:textId="56672627"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67" w:history="1">
            <w:r w:rsidRPr="00123F7D">
              <w:rPr>
                <w:rStyle w:val="Hyperlink"/>
                <w:noProof/>
              </w:rPr>
              <w:t xml:space="preserve">1.2.3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Commercial</w:t>
            </w:r>
            <w:r>
              <w:rPr>
                <w:noProof/>
                <w:webHidden/>
              </w:rPr>
              <w:tab/>
            </w:r>
            <w:r>
              <w:rPr>
                <w:noProof/>
                <w:webHidden/>
              </w:rPr>
              <w:fldChar w:fldCharType="begin"/>
            </w:r>
            <w:r>
              <w:rPr>
                <w:noProof/>
                <w:webHidden/>
              </w:rPr>
              <w:instrText xml:space="preserve"> PAGEREF _Toc189162567 \h </w:instrText>
            </w:r>
            <w:r>
              <w:rPr>
                <w:noProof/>
                <w:webHidden/>
              </w:rPr>
            </w:r>
            <w:r>
              <w:rPr>
                <w:noProof/>
                <w:webHidden/>
              </w:rPr>
              <w:fldChar w:fldCharType="separate"/>
            </w:r>
            <w:r>
              <w:rPr>
                <w:noProof/>
                <w:webHidden/>
              </w:rPr>
              <w:t>8</w:t>
            </w:r>
            <w:r>
              <w:rPr>
                <w:noProof/>
                <w:webHidden/>
              </w:rPr>
              <w:fldChar w:fldCharType="end"/>
            </w:r>
          </w:hyperlink>
        </w:p>
        <w:p w14:paraId="648EC9AA" w14:textId="2EBF76FE"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68" w:history="1">
            <w:r w:rsidRPr="00123F7D">
              <w:rPr>
                <w:rStyle w:val="Hyperlink"/>
                <w:noProof/>
              </w:rPr>
              <w:t xml:space="preserve">1.2.4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Industrial</w:t>
            </w:r>
            <w:r>
              <w:rPr>
                <w:noProof/>
                <w:webHidden/>
              </w:rPr>
              <w:tab/>
            </w:r>
            <w:r>
              <w:rPr>
                <w:noProof/>
                <w:webHidden/>
              </w:rPr>
              <w:fldChar w:fldCharType="begin"/>
            </w:r>
            <w:r>
              <w:rPr>
                <w:noProof/>
                <w:webHidden/>
              </w:rPr>
              <w:instrText xml:space="preserve"> PAGEREF _Toc189162568 \h </w:instrText>
            </w:r>
            <w:r>
              <w:rPr>
                <w:noProof/>
                <w:webHidden/>
              </w:rPr>
            </w:r>
            <w:r>
              <w:rPr>
                <w:noProof/>
                <w:webHidden/>
              </w:rPr>
              <w:fldChar w:fldCharType="separate"/>
            </w:r>
            <w:r>
              <w:rPr>
                <w:noProof/>
                <w:webHidden/>
              </w:rPr>
              <w:t>9</w:t>
            </w:r>
            <w:r>
              <w:rPr>
                <w:noProof/>
                <w:webHidden/>
              </w:rPr>
              <w:fldChar w:fldCharType="end"/>
            </w:r>
          </w:hyperlink>
        </w:p>
        <w:p w14:paraId="54DB66FB" w14:textId="3AB3A054"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69" w:history="1">
            <w:r w:rsidRPr="00123F7D">
              <w:rPr>
                <w:rStyle w:val="Hyperlink"/>
                <w:noProof/>
              </w:rPr>
              <w:t xml:space="preserve">1.2.5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Other Retail: Governmental Lighting, MARTA</w:t>
            </w:r>
            <w:r>
              <w:rPr>
                <w:noProof/>
                <w:webHidden/>
              </w:rPr>
              <w:tab/>
            </w:r>
            <w:r>
              <w:rPr>
                <w:noProof/>
                <w:webHidden/>
              </w:rPr>
              <w:fldChar w:fldCharType="begin"/>
            </w:r>
            <w:r>
              <w:rPr>
                <w:noProof/>
                <w:webHidden/>
              </w:rPr>
              <w:instrText xml:space="preserve"> PAGEREF _Toc189162569 \h </w:instrText>
            </w:r>
            <w:r>
              <w:rPr>
                <w:noProof/>
                <w:webHidden/>
              </w:rPr>
            </w:r>
            <w:r>
              <w:rPr>
                <w:noProof/>
                <w:webHidden/>
              </w:rPr>
              <w:fldChar w:fldCharType="separate"/>
            </w:r>
            <w:r>
              <w:rPr>
                <w:noProof/>
                <w:webHidden/>
              </w:rPr>
              <w:t>10</w:t>
            </w:r>
            <w:r>
              <w:rPr>
                <w:noProof/>
                <w:webHidden/>
              </w:rPr>
              <w:fldChar w:fldCharType="end"/>
            </w:r>
          </w:hyperlink>
        </w:p>
        <w:p w14:paraId="000A9E6D" w14:textId="313E752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0" w:history="1">
            <w:r w:rsidRPr="00123F7D">
              <w:rPr>
                <w:rStyle w:val="Hyperlink"/>
                <w:b/>
              </w:rPr>
              <w:t>1.3</w:t>
            </w:r>
            <w:r>
              <w:rPr>
                <w:rFonts w:asciiTheme="minorHAnsi" w:eastAsiaTheme="minorEastAsia" w:hAnsiTheme="minorHAnsi" w:cstheme="minorBidi"/>
                <w:bCs w:val="0"/>
                <w:caps w:val="0"/>
                <w:kern w:val="2"/>
                <w:szCs w:val="24"/>
                <w14:ligatures w14:val="standardContextual"/>
              </w:rPr>
              <w:tab/>
            </w:r>
            <w:r w:rsidRPr="00123F7D">
              <w:rPr>
                <w:rStyle w:val="Hyperlink"/>
                <w:b/>
              </w:rPr>
              <w:t>ECONOMICS</w:t>
            </w:r>
            <w:r>
              <w:rPr>
                <w:webHidden/>
              </w:rPr>
              <w:tab/>
            </w:r>
            <w:r>
              <w:rPr>
                <w:webHidden/>
              </w:rPr>
              <w:fldChar w:fldCharType="begin"/>
            </w:r>
            <w:r>
              <w:rPr>
                <w:webHidden/>
              </w:rPr>
              <w:instrText xml:space="preserve"> PAGEREF _Toc189162570 \h </w:instrText>
            </w:r>
            <w:r>
              <w:rPr>
                <w:webHidden/>
              </w:rPr>
            </w:r>
            <w:r>
              <w:rPr>
                <w:webHidden/>
              </w:rPr>
              <w:fldChar w:fldCharType="separate"/>
            </w:r>
            <w:r>
              <w:rPr>
                <w:webHidden/>
              </w:rPr>
              <w:t>12</w:t>
            </w:r>
            <w:r>
              <w:rPr>
                <w:webHidden/>
              </w:rPr>
              <w:fldChar w:fldCharType="end"/>
            </w:r>
          </w:hyperlink>
        </w:p>
        <w:p w14:paraId="326C7D03" w14:textId="2A8ABF55"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1" w:history="1">
            <w:r w:rsidRPr="00123F7D">
              <w:rPr>
                <w:rStyle w:val="Hyperlink"/>
                <w:b/>
              </w:rPr>
              <w:t>1.4</w:t>
            </w:r>
            <w:r>
              <w:rPr>
                <w:rFonts w:asciiTheme="minorHAnsi" w:eastAsiaTheme="minorEastAsia" w:hAnsiTheme="minorHAnsi" w:cstheme="minorBidi"/>
                <w:bCs w:val="0"/>
                <w:caps w:val="0"/>
                <w:kern w:val="2"/>
                <w:szCs w:val="24"/>
                <w14:ligatures w14:val="standardContextual"/>
              </w:rPr>
              <w:tab/>
            </w:r>
            <w:r w:rsidRPr="00123F7D">
              <w:rPr>
                <w:rStyle w:val="Hyperlink"/>
                <w:b/>
              </w:rPr>
              <w:t>FORECAST ASSUMPTIONS AND METHODS</w:t>
            </w:r>
            <w:r>
              <w:rPr>
                <w:webHidden/>
              </w:rPr>
              <w:tab/>
            </w:r>
            <w:r>
              <w:rPr>
                <w:webHidden/>
              </w:rPr>
              <w:fldChar w:fldCharType="begin"/>
            </w:r>
            <w:r>
              <w:rPr>
                <w:webHidden/>
              </w:rPr>
              <w:instrText xml:space="preserve"> PAGEREF _Toc189162571 \h </w:instrText>
            </w:r>
            <w:r>
              <w:rPr>
                <w:webHidden/>
              </w:rPr>
            </w:r>
            <w:r>
              <w:rPr>
                <w:webHidden/>
              </w:rPr>
              <w:fldChar w:fldCharType="separate"/>
            </w:r>
            <w:r>
              <w:rPr>
                <w:webHidden/>
              </w:rPr>
              <w:t>13</w:t>
            </w:r>
            <w:r>
              <w:rPr>
                <w:webHidden/>
              </w:rPr>
              <w:fldChar w:fldCharType="end"/>
            </w:r>
          </w:hyperlink>
        </w:p>
        <w:p w14:paraId="0704A586" w14:textId="3F8B7D5E"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2" w:history="1">
            <w:r w:rsidRPr="00123F7D">
              <w:rPr>
                <w:rStyle w:val="Hyperlink"/>
                <w:b/>
              </w:rPr>
              <w:t>1.5</w:t>
            </w:r>
            <w:r>
              <w:rPr>
                <w:rFonts w:asciiTheme="minorHAnsi" w:eastAsiaTheme="minorEastAsia" w:hAnsiTheme="minorHAnsi" w:cstheme="minorBidi"/>
                <w:bCs w:val="0"/>
                <w:caps w:val="0"/>
                <w:kern w:val="2"/>
                <w:szCs w:val="24"/>
                <w14:ligatures w14:val="standardContextual"/>
              </w:rPr>
              <w:tab/>
            </w:r>
            <w:r w:rsidRPr="00123F7D">
              <w:rPr>
                <w:rStyle w:val="Hyperlink"/>
                <w:b/>
              </w:rPr>
              <w:t>DEMAND SIDE PROGRAMS</w:t>
            </w:r>
            <w:r>
              <w:rPr>
                <w:webHidden/>
              </w:rPr>
              <w:tab/>
            </w:r>
            <w:r>
              <w:rPr>
                <w:webHidden/>
              </w:rPr>
              <w:fldChar w:fldCharType="begin"/>
            </w:r>
            <w:r>
              <w:rPr>
                <w:webHidden/>
              </w:rPr>
              <w:instrText xml:space="preserve"> PAGEREF _Toc189162572 \h </w:instrText>
            </w:r>
            <w:r>
              <w:rPr>
                <w:webHidden/>
              </w:rPr>
            </w:r>
            <w:r>
              <w:rPr>
                <w:webHidden/>
              </w:rPr>
              <w:fldChar w:fldCharType="separate"/>
            </w:r>
            <w:r>
              <w:rPr>
                <w:webHidden/>
              </w:rPr>
              <w:t>15</w:t>
            </w:r>
            <w:r>
              <w:rPr>
                <w:webHidden/>
              </w:rPr>
              <w:fldChar w:fldCharType="end"/>
            </w:r>
          </w:hyperlink>
        </w:p>
        <w:p w14:paraId="584EC717" w14:textId="5006CAA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3" w:history="1">
            <w:r w:rsidRPr="00123F7D">
              <w:rPr>
                <w:rStyle w:val="Hyperlink"/>
                <w:b/>
              </w:rPr>
              <w:t>1.6</w:t>
            </w:r>
            <w:r>
              <w:rPr>
                <w:rFonts w:asciiTheme="minorHAnsi" w:eastAsiaTheme="minorEastAsia" w:hAnsiTheme="minorHAnsi" w:cstheme="minorBidi"/>
                <w:bCs w:val="0"/>
                <w:caps w:val="0"/>
                <w:kern w:val="2"/>
                <w:szCs w:val="24"/>
                <w14:ligatures w14:val="standardContextual"/>
              </w:rPr>
              <w:tab/>
            </w:r>
            <w:r w:rsidRPr="00123F7D">
              <w:rPr>
                <w:rStyle w:val="Hyperlink"/>
                <w:b/>
              </w:rPr>
              <w:t>SENSITIVITIES AND SCENARIOS</w:t>
            </w:r>
            <w:r>
              <w:rPr>
                <w:webHidden/>
              </w:rPr>
              <w:tab/>
            </w:r>
            <w:r>
              <w:rPr>
                <w:webHidden/>
              </w:rPr>
              <w:fldChar w:fldCharType="begin"/>
            </w:r>
            <w:r>
              <w:rPr>
                <w:webHidden/>
              </w:rPr>
              <w:instrText xml:space="preserve"> PAGEREF _Toc189162573 \h </w:instrText>
            </w:r>
            <w:r>
              <w:rPr>
                <w:webHidden/>
              </w:rPr>
            </w:r>
            <w:r>
              <w:rPr>
                <w:webHidden/>
              </w:rPr>
              <w:fldChar w:fldCharType="separate"/>
            </w:r>
            <w:r>
              <w:rPr>
                <w:webHidden/>
              </w:rPr>
              <w:t>15</w:t>
            </w:r>
            <w:r>
              <w:rPr>
                <w:webHidden/>
              </w:rPr>
              <w:fldChar w:fldCharType="end"/>
            </w:r>
          </w:hyperlink>
        </w:p>
        <w:p w14:paraId="6138AD26" w14:textId="4B48E052"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4" w:history="1">
            <w:r w:rsidRPr="00123F7D">
              <w:rPr>
                <w:rStyle w:val="Hyperlink"/>
                <w:b/>
              </w:rPr>
              <w:t>2.0</w:t>
            </w:r>
            <w:r>
              <w:rPr>
                <w:rFonts w:asciiTheme="minorHAnsi" w:eastAsiaTheme="minorEastAsia" w:hAnsiTheme="minorHAnsi" w:cstheme="minorBidi"/>
                <w:bCs w:val="0"/>
                <w:caps w:val="0"/>
                <w:kern w:val="2"/>
                <w:szCs w:val="24"/>
                <w14:ligatures w14:val="standardContextual"/>
              </w:rPr>
              <w:tab/>
            </w:r>
            <w:r w:rsidRPr="00123F7D">
              <w:rPr>
                <w:rStyle w:val="Hyperlink"/>
                <w:b/>
              </w:rPr>
              <w:t>ANNUAL SUMMARY</w:t>
            </w:r>
            <w:r>
              <w:rPr>
                <w:webHidden/>
              </w:rPr>
              <w:tab/>
            </w:r>
            <w:r>
              <w:rPr>
                <w:webHidden/>
              </w:rPr>
              <w:fldChar w:fldCharType="begin"/>
            </w:r>
            <w:r>
              <w:rPr>
                <w:webHidden/>
              </w:rPr>
              <w:instrText xml:space="preserve"> PAGEREF _Toc189162574 \h </w:instrText>
            </w:r>
            <w:r>
              <w:rPr>
                <w:webHidden/>
              </w:rPr>
            </w:r>
            <w:r>
              <w:rPr>
                <w:webHidden/>
              </w:rPr>
              <w:fldChar w:fldCharType="separate"/>
            </w:r>
            <w:r>
              <w:rPr>
                <w:webHidden/>
              </w:rPr>
              <w:t>16</w:t>
            </w:r>
            <w:r>
              <w:rPr>
                <w:webHidden/>
              </w:rPr>
              <w:fldChar w:fldCharType="end"/>
            </w:r>
          </w:hyperlink>
        </w:p>
        <w:p w14:paraId="565764F1" w14:textId="281D19F4"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5" w:history="1">
            <w:r w:rsidRPr="00123F7D">
              <w:rPr>
                <w:rStyle w:val="Hyperlink"/>
                <w:b/>
              </w:rPr>
              <w:t>2.1</w:t>
            </w:r>
            <w:r>
              <w:rPr>
                <w:rFonts w:asciiTheme="minorHAnsi" w:eastAsiaTheme="minorEastAsia" w:hAnsiTheme="minorHAnsi" w:cstheme="minorBidi"/>
                <w:bCs w:val="0"/>
                <w:caps w:val="0"/>
                <w:kern w:val="2"/>
                <w:szCs w:val="24"/>
                <w14:ligatures w14:val="standardContextual"/>
              </w:rPr>
              <w:tab/>
            </w:r>
            <w:r w:rsidRPr="00123F7D">
              <w:rPr>
                <w:rStyle w:val="Hyperlink"/>
                <w:b/>
              </w:rPr>
              <w:t>MONTHLY ENERGY REQUIREMENTS</w:t>
            </w:r>
            <w:r>
              <w:rPr>
                <w:webHidden/>
              </w:rPr>
              <w:tab/>
            </w:r>
            <w:r>
              <w:rPr>
                <w:webHidden/>
              </w:rPr>
              <w:fldChar w:fldCharType="begin"/>
            </w:r>
            <w:r>
              <w:rPr>
                <w:webHidden/>
              </w:rPr>
              <w:instrText xml:space="preserve"> PAGEREF _Toc189162575 \h </w:instrText>
            </w:r>
            <w:r>
              <w:rPr>
                <w:webHidden/>
              </w:rPr>
            </w:r>
            <w:r>
              <w:rPr>
                <w:webHidden/>
              </w:rPr>
              <w:fldChar w:fldCharType="separate"/>
            </w:r>
            <w:r>
              <w:rPr>
                <w:webHidden/>
              </w:rPr>
              <w:t>17</w:t>
            </w:r>
            <w:r>
              <w:rPr>
                <w:webHidden/>
              </w:rPr>
              <w:fldChar w:fldCharType="end"/>
            </w:r>
          </w:hyperlink>
        </w:p>
        <w:p w14:paraId="71C85F18" w14:textId="6C08CD2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6" w:history="1">
            <w:r w:rsidRPr="00123F7D">
              <w:rPr>
                <w:rStyle w:val="Hyperlink"/>
                <w:b/>
              </w:rPr>
              <w:t>2.2</w:t>
            </w:r>
            <w:r>
              <w:rPr>
                <w:rFonts w:asciiTheme="minorHAnsi" w:eastAsiaTheme="minorEastAsia" w:hAnsiTheme="minorHAnsi" w:cstheme="minorBidi"/>
                <w:bCs w:val="0"/>
                <w:caps w:val="0"/>
                <w:kern w:val="2"/>
                <w:szCs w:val="24"/>
                <w14:ligatures w14:val="standardContextual"/>
              </w:rPr>
              <w:tab/>
            </w:r>
            <w:r w:rsidRPr="00123F7D">
              <w:rPr>
                <w:rStyle w:val="Hyperlink"/>
                <w:b/>
              </w:rPr>
              <w:t>CUSTOMERS</w:t>
            </w:r>
            <w:r>
              <w:rPr>
                <w:webHidden/>
              </w:rPr>
              <w:tab/>
            </w:r>
            <w:r>
              <w:rPr>
                <w:webHidden/>
              </w:rPr>
              <w:fldChar w:fldCharType="begin"/>
            </w:r>
            <w:r>
              <w:rPr>
                <w:webHidden/>
              </w:rPr>
              <w:instrText xml:space="preserve"> PAGEREF _Toc189162576 \h </w:instrText>
            </w:r>
            <w:r>
              <w:rPr>
                <w:webHidden/>
              </w:rPr>
            </w:r>
            <w:r>
              <w:rPr>
                <w:webHidden/>
              </w:rPr>
              <w:fldChar w:fldCharType="separate"/>
            </w:r>
            <w:r>
              <w:rPr>
                <w:webHidden/>
              </w:rPr>
              <w:t>20</w:t>
            </w:r>
            <w:r>
              <w:rPr>
                <w:webHidden/>
              </w:rPr>
              <w:fldChar w:fldCharType="end"/>
            </w:r>
          </w:hyperlink>
        </w:p>
        <w:p w14:paraId="2EF50AFD" w14:textId="177647EE"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7" w:history="1">
            <w:r w:rsidRPr="00123F7D">
              <w:rPr>
                <w:rStyle w:val="Hyperlink"/>
                <w:b/>
              </w:rPr>
              <w:t>3.0</w:t>
            </w:r>
            <w:r>
              <w:rPr>
                <w:rFonts w:asciiTheme="minorHAnsi" w:eastAsiaTheme="minorEastAsia" w:hAnsiTheme="minorHAnsi" w:cstheme="minorBidi"/>
                <w:bCs w:val="0"/>
                <w:caps w:val="0"/>
                <w:kern w:val="2"/>
                <w:szCs w:val="24"/>
                <w14:ligatures w14:val="standardContextual"/>
              </w:rPr>
              <w:tab/>
            </w:r>
            <w:r w:rsidRPr="00123F7D">
              <w:rPr>
                <w:rStyle w:val="Hyperlink"/>
                <w:b/>
              </w:rPr>
              <w:t>GENERAL FORECASTING OVERVIEW</w:t>
            </w:r>
            <w:r>
              <w:rPr>
                <w:webHidden/>
              </w:rPr>
              <w:tab/>
            </w:r>
            <w:r>
              <w:rPr>
                <w:webHidden/>
              </w:rPr>
              <w:fldChar w:fldCharType="begin"/>
            </w:r>
            <w:r>
              <w:rPr>
                <w:webHidden/>
              </w:rPr>
              <w:instrText xml:space="preserve"> PAGEREF _Toc189162577 \h </w:instrText>
            </w:r>
            <w:r>
              <w:rPr>
                <w:webHidden/>
              </w:rPr>
            </w:r>
            <w:r>
              <w:rPr>
                <w:webHidden/>
              </w:rPr>
              <w:fldChar w:fldCharType="separate"/>
            </w:r>
            <w:r>
              <w:rPr>
                <w:webHidden/>
              </w:rPr>
              <w:t>21</w:t>
            </w:r>
            <w:r>
              <w:rPr>
                <w:webHidden/>
              </w:rPr>
              <w:fldChar w:fldCharType="end"/>
            </w:r>
          </w:hyperlink>
        </w:p>
        <w:p w14:paraId="09B35BB6" w14:textId="79E8F3E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8" w:history="1">
            <w:r w:rsidRPr="00123F7D">
              <w:rPr>
                <w:rStyle w:val="Hyperlink"/>
                <w:b/>
              </w:rPr>
              <w:t>3.1</w:t>
            </w:r>
            <w:r>
              <w:rPr>
                <w:rFonts w:asciiTheme="minorHAnsi" w:eastAsiaTheme="minorEastAsia" w:hAnsiTheme="minorHAnsi" w:cstheme="minorBidi"/>
                <w:bCs w:val="0"/>
                <w:caps w:val="0"/>
                <w:kern w:val="2"/>
                <w:szCs w:val="24"/>
                <w14:ligatures w14:val="standardContextual"/>
              </w:rPr>
              <w:tab/>
            </w:r>
            <w:r w:rsidRPr="00123F7D">
              <w:rPr>
                <w:rStyle w:val="Hyperlink"/>
                <w:b/>
              </w:rPr>
              <w:t>ECONOMETRIC REGRESSION</w:t>
            </w:r>
            <w:r>
              <w:rPr>
                <w:webHidden/>
              </w:rPr>
              <w:tab/>
            </w:r>
            <w:r>
              <w:rPr>
                <w:webHidden/>
              </w:rPr>
              <w:fldChar w:fldCharType="begin"/>
            </w:r>
            <w:r>
              <w:rPr>
                <w:webHidden/>
              </w:rPr>
              <w:instrText xml:space="preserve"> PAGEREF _Toc189162578 \h </w:instrText>
            </w:r>
            <w:r>
              <w:rPr>
                <w:webHidden/>
              </w:rPr>
            </w:r>
            <w:r>
              <w:rPr>
                <w:webHidden/>
              </w:rPr>
              <w:fldChar w:fldCharType="separate"/>
            </w:r>
            <w:r>
              <w:rPr>
                <w:webHidden/>
              </w:rPr>
              <w:t>21</w:t>
            </w:r>
            <w:r>
              <w:rPr>
                <w:webHidden/>
              </w:rPr>
              <w:fldChar w:fldCharType="end"/>
            </w:r>
          </w:hyperlink>
        </w:p>
        <w:p w14:paraId="40D219C0" w14:textId="0CC754EF"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79" w:history="1">
            <w:r w:rsidRPr="00123F7D">
              <w:rPr>
                <w:rStyle w:val="Hyperlink"/>
                <w:b/>
              </w:rPr>
              <w:t>3.2</w:t>
            </w:r>
            <w:r>
              <w:rPr>
                <w:rFonts w:asciiTheme="minorHAnsi" w:eastAsiaTheme="minorEastAsia" w:hAnsiTheme="minorHAnsi" w:cstheme="minorBidi"/>
                <w:bCs w:val="0"/>
                <w:caps w:val="0"/>
                <w:kern w:val="2"/>
                <w:szCs w:val="24"/>
                <w14:ligatures w14:val="standardContextual"/>
              </w:rPr>
              <w:tab/>
            </w:r>
            <w:r w:rsidRPr="00123F7D">
              <w:rPr>
                <w:rStyle w:val="Hyperlink"/>
                <w:b/>
              </w:rPr>
              <w:t>END-USE MODELS</w:t>
            </w:r>
            <w:r>
              <w:rPr>
                <w:webHidden/>
              </w:rPr>
              <w:tab/>
            </w:r>
            <w:r>
              <w:rPr>
                <w:webHidden/>
              </w:rPr>
              <w:fldChar w:fldCharType="begin"/>
            </w:r>
            <w:r>
              <w:rPr>
                <w:webHidden/>
              </w:rPr>
              <w:instrText xml:space="preserve"> PAGEREF _Toc189162579 \h </w:instrText>
            </w:r>
            <w:r>
              <w:rPr>
                <w:webHidden/>
              </w:rPr>
            </w:r>
            <w:r>
              <w:rPr>
                <w:webHidden/>
              </w:rPr>
              <w:fldChar w:fldCharType="separate"/>
            </w:r>
            <w:r>
              <w:rPr>
                <w:webHidden/>
              </w:rPr>
              <w:t>21</w:t>
            </w:r>
            <w:r>
              <w:rPr>
                <w:webHidden/>
              </w:rPr>
              <w:fldChar w:fldCharType="end"/>
            </w:r>
          </w:hyperlink>
        </w:p>
        <w:p w14:paraId="5732C346" w14:textId="357D43F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80" w:history="1">
            <w:r w:rsidRPr="00123F7D">
              <w:rPr>
                <w:rStyle w:val="Hyperlink"/>
                <w:b/>
              </w:rPr>
              <w:t xml:space="preserve">3.3 </w:t>
            </w:r>
            <w:r>
              <w:rPr>
                <w:rFonts w:asciiTheme="minorHAnsi" w:eastAsiaTheme="minorEastAsia" w:hAnsiTheme="minorHAnsi" w:cstheme="minorBidi"/>
                <w:bCs w:val="0"/>
                <w:caps w:val="0"/>
                <w:kern w:val="2"/>
                <w:szCs w:val="24"/>
                <w14:ligatures w14:val="standardContextual"/>
              </w:rPr>
              <w:tab/>
            </w:r>
            <w:r w:rsidRPr="00123F7D">
              <w:rPr>
                <w:rStyle w:val="Hyperlink"/>
                <w:b/>
              </w:rPr>
              <w:t>MONTE CARLO SIMULATION</w:t>
            </w:r>
            <w:r>
              <w:rPr>
                <w:webHidden/>
              </w:rPr>
              <w:tab/>
            </w:r>
            <w:r>
              <w:rPr>
                <w:webHidden/>
              </w:rPr>
              <w:fldChar w:fldCharType="begin"/>
            </w:r>
            <w:r>
              <w:rPr>
                <w:webHidden/>
              </w:rPr>
              <w:instrText xml:space="preserve"> PAGEREF _Toc189162580 \h </w:instrText>
            </w:r>
            <w:r>
              <w:rPr>
                <w:webHidden/>
              </w:rPr>
            </w:r>
            <w:r>
              <w:rPr>
                <w:webHidden/>
              </w:rPr>
              <w:fldChar w:fldCharType="separate"/>
            </w:r>
            <w:r>
              <w:rPr>
                <w:webHidden/>
              </w:rPr>
              <w:t>22</w:t>
            </w:r>
            <w:r>
              <w:rPr>
                <w:webHidden/>
              </w:rPr>
              <w:fldChar w:fldCharType="end"/>
            </w:r>
          </w:hyperlink>
        </w:p>
        <w:p w14:paraId="517A3D2E" w14:textId="264D906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81" w:history="1">
            <w:r w:rsidRPr="00123F7D">
              <w:rPr>
                <w:rStyle w:val="Hyperlink"/>
                <w:b/>
              </w:rPr>
              <w:t>3.4</w:t>
            </w:r>
            <w:r>
              <w:rPr>
                <w:rFonts w:asciiTheme="minorHAnsi" w:eastAsiaTheme="minorEastAsia" w:hAnsiTheme="minorHAnsi" w:cstheme="minorBidi"/>
                <w:bCs w:val="0"/>
                <w:caps w:val="0"/>
                <w:kern w:val="2"/>
                <w:szCs w:val="24"/>
                <w14:ligatures w14:val="standardContextual"/>
              </w:rPr>
              <w:tab/>
            </w:r>
            <w:r w:rsidRPr="00123F7D">
              <w:rPr>
                <w:rStyle w:val="Hyperlink"/>
                <w:b/>
              </w:rPr>
              <w:t>INFORMED JUDGMENT</w:t>
            </w:r>
            <w:r>
              <w:rPr>
                <w:webHidden/>
              </w:rPr>
              <w:tab/>
            </w:r>
            <w:r>
              <w:rPr>
                <w:webHidden/>
              </w:rPr>
              <w:fldChar w:fldCharType="begin"/>
            </w:r>
            <w:r>
              <w:rPr>
                <w:webHidden/>
              </w:rPr>
              <w:instrText xml:space="preserve"> PAGEREF _Toc189162581 \h </w:instrText>
            </w:r>
            <w:r>
              <w:rPr>
                <w:webHidden/>
              </w:rPr>
            </w:r>
            <w:r>
              <w:rPr>
                <w:webHidden/>
              </w:rPr>
              <w:fldChar w:fldCharType="separate"/>
            </w:r>
            <w:r>
              <w:rPr>
                <w:webHidden/>
              </w:rPr>
              <w:t>22</w:t>
            </w:r>
            <w:r>
              <w:rPr>
                <w:webHidden/>
              </w:rPr>
              <w:fldChar w:fldCharType="end"/>
            </w:r>
          </w:hyperlink>
        </w:p>
        <w:p w14:paraId="5989E500" w14:textId="582E5585"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82" w:history="1">
            <w:r w:rsidRPr="00123F7D">
              <w:rPr>
                <w:rStyle w:val="Hyperlink"/>
                <w:b/>
              </w:rPr>
              <w:t>3.5</w:t>
            </w:r>
            <w:r>
              <w:rPr>
                <w:rFonts w:asciiTheme="minorHAnsi" w:eastAsiaTheme="minorEastAsia" w:hAnsiTheme="minorHAnsi" w:cstheme="minorBidi"/>
                <w:bCs w:val="0"/>
                <w:caps w:val="0"/>
                <w:kern w:val="2"/>
                <w:szCs w:val="24"/>
                <w14:ligatures w14:val="standardContextual"/>
              </w:rPr>
              <w:tab/>
            </w:r>
            <w:r w:rsidRPr="00123F7D">
              <w:rPr>
                <w:rStyle w:val="Hyperlink"/>
                <w:b/>
              </w:rPr>
              <w:t>TOOLS</w:t>
            </w:r>
            <w:r>
              <w:rPr>
                <w:webHidden/>
              </w:rPr>
              <w:tab/>
            </w:r>
            <w:r>
              <w:rPr>
                <w:webHidden/>
              </w:rPr>
              <w:fldChar w:fldCharType="begin"/>
            </w:r>
            <w:r>
              <w:rPr>
                <w:webHidden/>
              </w:rPr>
              <w:instrText xml:space="preserve"> PAGEREF _Toc189162582 \h </w:instrText>
            </w:r>
            <w:r>
              <w:rPr>
                <w:webHidden/>
              </w:rPr>
            </w:r>
            <w:r>
              <w:rPr>
                <w:webHidden/>
              </w:rPr>
              <w:fldChar w:fldCharType="separate"/>
            </w:r>
            <w:r>
              <w:rPr>
                <w:webHidden/>
              </w:rPr>
              <w:t>23</w:t>
            </w:r>
            <w:r>
              <w:rPr>
                <w:webHidden/>
              </w:rPr>
              <w:fldChar w:fldCharType="end"/>
            </w:r>
          </w:hyperlink>
        </w:p>
        <w:p w14:paraId="1A23224B" w14:textId="21293203"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83" w:history="1">
            <w:r w:rsidRPr="00123F7D">
              <w:rPr>
                <w:rStyle w:val="Hyperlink"/>
                <w:b/>
              </w:rPr>
              <w:t>4.0</w:t>
            </w:r>
            <w:r>
              <w:rPr>
                <w:rFonts w:asciiTheme="minorHAnsi" w:eastAsiaTheme="minorEastAsia" w:hAnsiTheme="minorHAnsi" w:cstheme="minorBidi"/>
                <w:bCs w:val="0"/>
                <w:caps w:val="0"/>
                <w:kern w:val="2"/>
                <w:szCs w:val="24"/>
                <w14:ligatures w14:val="standardContextual"/>
              </w:rPr>
              <w:tab/>
            </w:r>
            <w:r w:rsidRPr="00123F7D">
              <w:rPr>
                <w:rStyle w:val="Hyperlink"/>
                <w:b/>
              </w:rPr>
              <w:t>SHORT-TERM MODEL DESIGN OVERVIEW</w:t>
            </w:r>
            <w:r>
              <w:rPr>
                <w:webHidden/>
              </w:rPr>
              <w:tab/>
            </w:r>
            <w:r>
              <w:rPr>
                <w:webHidden/>
              </w:rPr>
              <w:fldChar w:fldCharType="begin"/>
            </w:r>
            <w:r>
              <w:rPr>
                <w:webHidden/>
              </w:rPr>
              <w:instrText xml:space="preserve"> PAGEREF _Toc189162583 \h </w:instrText>
            </w:r>
            <w:r>
              <w:rPr>
                <w:webHidden/>
              </w:rPr>
            </w:r>
            <w:r>
              <w:rPr>
                <w:webHidden/>
              </w:rPr>
              <w:fldChar w:fldCharType="separate"/>
            </w:r>
            <w:r>
              <w:rPr>
                <w:webHidden/>
              </w:rPr>
              <w:t>24</w:t>
            </w:r>
            <w:r>
              <w:rPr>
                <w:webHidden/>
              </w:rPr>
              <w:fldChar w:fldCharType="end"/>
            </w:r>
          </w:hyperlink>
        </w:p>
        <w:p w14:paraId="50E7634C" w14:textId="0DB7AE48"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84" w:history="1">
            <w:r w:rsidRPr="00123F7D">
              <w:rPr>
                <w:rStyle w:val="Hyperlink"/>
                <w:b/>
              </w:rPr>
              <w:t>4.1</w:t>
            </w:r>
            <w:r>
              <w:rPr>
                <w:rFonts w:asciiTheme="minorHAnsi" w:eastAsiaTheme="minorEastAsia" w:hAnsiTheme="minorHAnsi" w:cstheme="minorBidi"/>
                <w:bCs w:val="0"/>
                <w:caps w:val="0"/>
                <w:kern w:val="2"/>
                <w:szCs w:val="24"/>
                <w14:ligatures w14:val="standardContextual"/>
              </w:rPr>
              <w:tab/>
            </w:r>
            <w:r w:rsidRPr="00123F7D">
              <w:rPr>
                <w:rStyle w:val="Hyperlink"/>
                <w:b/>
              </w:rPr>
              <w:t>RETAIL SALES SECTORS</w:t>
            </w:r>
            <w:r>
              <w:rPr>
                <w:webHidden/>
              </w:rPr>
              <w:tab/>
            </w:r>
            <w:r>
              <w:rPr>
                <w:webHidden/>
              </w:rPr>
              <w:fldChar w:fldCharType="begin"/>
            </w:r>
            <w:r>
              <w:rPr>
                <w:webHidden/>
              </w:rPr>
              <w:instrText xml:space="preserve"> PAGEREF _Toc189162584 \h </w:instrText>
            </w:r>
            <w:r>
              <w:rPr>
                <w:webHidden/>
              </w:rPr>
            </w:r>
            <w:r>
              <w:rPr>
                <w:webHidden/>
              </w:rPr>
              <w:fldChar w:fldCharType="separate"/>
            </w:r>
            <w:r>
              <w:rPr>
                <w:webHidden/>
              </w:rPr>
              <w:t>24</w:t>
            </w:r>
            <w:r>
              <w:rPr>
                <w:webHidden/>
              </w:rPr>
              <w:fldChar w:fldCharType="end"/>
            </w:r>
          </w:hyperlink>
        </w:p>
        <w:p w14:paraId="57D94275" w14:textId="4452A0C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85" w:history="1">
            <w:r w:rsidRPr="00123F7D">
              <w:rPr>
                <w:rStyle w:val="Hyperlink"/>
                <w:noProof/>
              </w:rPr>
              <w:t>4.1.1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Residential Sales</w:t>
            </w:r>
            <w:r>
              <w:rPr>
                <w:noProof/>
                <w:webHidden/>
              </w:rPr>
              <w:tab/>
            </w:r>
            <w:r>
              <w:rPr>
                <w:noProof/>
                <w:webHidden/>
              </w:rPr>
              <w:fldChar w:fldCharType="begin"/>
            </w:r>
            <w:r>
              <w:rPr>
                <w:noProof/>
                <w:webHidden/>
              </w:rPr>
              <w:instrText xml:space="preserve"> PAGEREF _Toc189162585 \h </w:instrText>
            </w:r>
            <w:r>
              <w:rPr>
                <w:noProof/>
                <w:webHidden/>
              </w:rPr>
            </w:r>
            <w:r>
              <w:rPr>
                <w:noProof/>
                <w:webHidden/>
              </w:rPr>
              <w:fldChar w:fldCharType="separate"/>
            </w:r>
            <w:r>
              <w:rPr>
                <w:noProof/>
                <w:webHidden/>
              </w:rPr>
              <w:t>24</w:t>
            </w:r>
            <w:r>
              <w:rPr>
                <w:noProof/>
                <w:webHidden/>
              </w:rPr>
              <w:fldChar w:fldCharType="end"/>
            </w:r>
          </w:hyperlink>
        </w:p>
        <w:p w14:paraId="44D77944" w14:textId="312616DF"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86" w:history="1">
            <w:r w:rsidRPr="00123F7D">
              <w:rPr>
                <w:rStyle w:val="Hyperlink"/>
                <w:noProof/>
              </w:rPr>
              <w:t>4.1.2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Commercial Sales</w:t>
            </w:r>
            <w:r>
              <w:rPr>
                <w:noProof/>
                <w:webHidden/>
              </w:rPr>
              <w:tab/>
            </w:r>
            <w:r>
              <w:rPr>
                <w:noProof/>
                <w:webHidden/>
              </w:rPr>
              <w:fldChar w:fldCharType="begin"/>
            </w:r>
            <w:r>
              <w:rPr>
                <w:noProof/>
                <w:webHidden/>
              </w:rPr>
              <w:instrText xml:space="preserve"> PAGEREF _Toc189162586 \h </w:instrText>
            </w:r>
            <w:r>
              <w:rPr>
                <w:noProof/>
                <w:webHidden/>
              </w:rPr>
            </w:r>
            <w:r>
              <w:rPr>
                <w:noProof/>
                <w:webHidden/>
              </w:rPr>
              <w:fldChar w:fldCharType="separate"/>
            </w:r>
            <w:r>
              <w:rPr>
                <w:noProof/>
                <w:webHidden/>
              </w:rPr>
              <w:t>27</w:t>
            </w:r>
            <w:r>
              <w:rPr>
                <w:noProof/>
                <w:webHidden/>
              </w:rPr>
              <w:fldChar w:fldCharType="end"/>
            </w:r>
          </w:hyperlink>
        </w:p>
        <w:p w14:paraId="1953FBB9" w14:textId="0CB7A5F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87" w:history="1">
            <w:r w:rsidRPr="00123F7D">
              <w:rPr>
                <w:rStyle w:val="Hyperlink"/>
                <w:noProof/>
              </w:rPr>
              <w:t>4.1.3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Industrial Sales</w:t>
            </w:r>
            <w:r>
              <w:rPr>
                <w:noProof/>
                <w:webHidden/>
              </w:rPr>
              <w:tab/>
            </w:r>
            <w:r>
              <w:rPr>
                <w:noProof/>
                <w:webHidden/>
              </w:rPr>
              <w:fldChar w:fldCharType="begin"/>
            </w:r>
            <w:r>
              <w:rPr>
                <w:noProof/>
                <w:webHidden/>
              </w:rPr>
              <w:instrText xml:space="preserve"> PAGEREF _Toc189162587 \h </w:instrText>
            </w:r>
            <w:r>
              <w:rPr>
                <w:noProof/>
                <w:webHidden/>
              </w:rPr>
            </w:r>
            <w:r>
              <w:rPr>
                <w:noProof/>
                <w:webHidden/>
              </w:rPr>
              <w:fldChar w:fldCharType="separate"/>
            </w:r>
            <w:r>
              <w:rPr>
                <w:noProof/>
                <w:webHidden/>
              </w:rPr>
              <w:t>30</w:t>
            </w:r>
            <w:r>
              <w:rPr>
                <w:noProof/>
                <w:webHidden/>
              </w:rPr>
              <w:fldChar w:fldCharType="end"/>
            </w:r>
          </w:hyperlink>
        </w:p>
        <w:p w14:paraId="45ECAFC3" w14:textId="7D3A3DEA"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88" w:history="1">
            <w:r w:rsidRPr="00123F7D">
              <w:rPr>
                <w:rStyle w:val="Hyperlink"/>
                <w:noProof/>
              </w:rPr>
              <w:t>4.1.4</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MARTA Sales</w:t>
            </w:r>
            <w:r>
              <w:rPr>
                <w:noProof/>
                <w:webHidden/>
              </w:rPr>
              <w:tab/>
            </w:r>
            <w:r>
              <w:rPr>
                <w:noProof/>
                <w:webHidden/>
              </w:rPr>
              <w:fldChar w:fldCharType="begin"/>
            </w:r>
            <w:r>
              <w:rPr>
                <w:noProof/>
                <w:webHidden/>
              </w:rPr>
              <w:instrText xml:space="preserve"> PAGEREF _Toc189162588 \h </w:instrText>
            </w:r>
            <w:r>
              <w:rPr>
                <w:noProof/>
                <w:webHidden/>
              </w:rPr>
            </w:r>
            <w:r>
              <w:rPr>
                <w:noProof/>
                <w:webHidden/>
              </w:rPr>
              <w:fldChar w:fldCharType="separate"/>
            </w:r>
            <w:r>
              <w:rPr>
                <w:noProof/>
                <w:webHidden/>
              </w:rPr>
              <w:t>32</w:t>
            </w:r>
            <w:r>
              <w:rPr>
                <w:noProof/>
                <w:webHidden/>
              </w:rPr>
              <w:fldChar w:fldCharType="end"/>
            </w:r>
          </w:hyperlink>
        </w:p>
        <w:p w14:paraId="241FB797" w14:textId="0E5E7385"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89" w:history="1">
            <w:r w:rsidRPr="00123F7D">
              <w:rPr>
                <w:rStyle w:val="Hyperlink"/>
                <w:noProof/>
              </w:rPr>
              <w:t>4.1.5</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Governmental Lighting Sales</w:t>
            </w:r>
            <w:r>
              <w:rPr>
                <w:noProof/>
                <w:webHidden/>
              </w:rPr>
              <w:tab/>
            </w:r>
            <w:r>
              <w:rPr>
                <w:noProof/>
                <w:webHidden/>
              </w:rPr>
              <w:fldChar w:fldCharType="begin"/>
            </w:r>
            <w:r>
              <w:rPr>
                <w:noProof/>
                <w:webHidden/>
              </w:rPr>
              <w:instrText xml:space="preserve"> PAGEREF _Toc189162589 \h </w:instrText>
            </w:r>
            <w:r>
              <w:rPr>
                <w:noProof/>
                <w:webHidden/>
              </w:rPr>
            </w:r>
            <w:r>
              <w:rPr>
                <w:noProof/>
                <w:webHidden/>
              </w:rPr>
              <w:fldChar w:fldCharType="separate"/>
            </w:r>
            <w:r>
              <w:rPr>
                <w:noProof/>
                <w:webHidden/>
              </w:rPr>
              <w:t>34</w:t>
            </w:r>
            <w:r>
              <w:rPr>
                <w:noProof/>
                <w:webHidden/>
              </w:rPr>
              <w:fldChar w:fldCharType="end"/>
            </w:r>
          </w:hyperlink>
        </w:p>
        <w:p w14:paraId="6FD2D6F9" w14:textId="0EA6B7E5"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90" w:history="1">
            <w:r w:rsidRPr="00123F7D">
              <w:rPr>
                <w:rStyle w:val="Hyperlink"/>
                <w:b/>
              </w:rPr>
              <w:t>4.2</w:t>
            </w:r>
            <w:r>
              <w:rPr>
                <w:rFonts w:asciiTheme="minorHAnsi" w:eastAsiaTheme="minorEastAsia" w:hAnsiTheme="minorHAnsi" w:cstheme="minorBidi"/>
                <w:bCs w:val="0"/>
                <w:caps w:val="0"/>
                <w:kern w:val="2"/>
                <w:szCs w:val="24"/>
                <w14:ligatures w14:val="standardContextual"/>
              </w:rPr>
              <w:tab/>
            </w:r>
            <w:r w:rsidRPr="00123F7D">
              <w:rPr>
                <w:rStyle w:val="Hyperlink"/>
                <w:b/>
              </w:rPr>
              <w:t>CUSTOMER FORECASTS</w:t>
            </w:r>
            <w:r>
              <w:rPr>
                <w:webHidden/>
              </w:rPr>
              <w:tab/>
            </w:r>
            <w:r>
              <w:rPr>
                <w:webHidden/>
              </w:rPr>
              <w:fldChar w:fldCharType="begin"/>
            </w:r>
            <w:r>
              <w:rPr>
                <w:webHidden/>
              </w:rPr>
              <w:instrText xml:space="preserve"> PAGEREF _Toc189162590 \h </w:instrText>
            </w:r>
            <w:r>
              <w:rPr>
                <w:webHidden/>
              </w:rPr>
            </w:r>
            <w:r>
              <w:rPr>
                <w:webHidden/>
              </w:rPr>
              <w:fldChar w:fldCharType="separate"/>
            </w:r>
            <w:r>
              <w:rPr>
                <w:webHidden/>
              </w:rPr>
              <w:t>34</w:t>
            </w:r>
            <w:r>
              <w:rPr>
                <w:webHidden/>
              </w:rPr>
              <w:fldChar w:fldCharType="end"/>
            </w:r>
          </w:hyperlink>
        </w:p>
        <w:p w14:paraId="068DF45D" w14:textId="41913B35"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1" w:history="1">
            <w:r w:rsidRPr="00123F7D">
              <w:rPr>
                <w:rStyle w:val="Hyperlink"/>
                <w:noProof/>
              </w:rPr>
              <w:t>4.2.1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Residential Customers</w:t>
            </w:r>
            <w:r>
              <w:rPr>
                <w:noProof/>
                <w:webHidden/>
              </w:rPr>
              <w:tab/>
            </w:r>
            <w:r>
              <w:rPr>
                <w:noProof/>
                <w:webHidden/>
              </w:rPr>
              <w:fldChar w:fldCharType="begin"/>
            </w:r>
            <w:r>
              <w:rPr>
                <w:noProof/>
                <w:webHidden/>
              </w:rPr>
              <w:instrText xml:space="preserve"> PAGEREF _Toc189162591 \h </w:instrText>
            </w:r>
            <w:r>
              <w:rPr>
                <w:noProof/>
                <w:webHidden/>
              </w:rPr>
            </w:r>
            <w:r>
              <w:rPr>
                <w:noProof/>
                <w:webHidden/>
              </w:rPr>
              <w:fldChar w:fldCharType="separate"/>
            </w:r>
            <w:r>
              <w:rPr>
                <w:noProof/>
                <w:webHidden/>
              </w:rPr>
              <w:t>35</w:t>
            </w:r>
            <w:r>
              <w:rPr>
                <w:noProof/>
                <w:webHidden/>
              </w:rPr>
              <w:fldChar w:fldCharType="end"/>
            </w:r>
          </w:hyperlink>
        </w:p>
        <w:p w14:paraId="0EE44877" w14:textId="09CA4F1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2" w:history="1">
            <w:r w:rsidRPr="00123F7D">
              <w:rPr>
                <w:rStyle w:val="Hyperlink"/>
                <w:noProof/>
              </w:rPr>
              <w:t>4.2.2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Commercial Customers</w:t>
            </w:r>
            <w:r>
              <w:rPr>
                <w:noProof/>
                <w:webHidden/>
              </w:rPr>
              <w:tab/>
            </w:r>
            <w:r>
              <w:rPr>
                <w:noProof/>
                <w:webHidden/>
              </w:rPr>
              <w:fldChar w:fldCharType="begin"/>
            </w:r>
            <w:r>
              <w:rPr>
                <w:noProof/>
                <w:webHidden/>
              </w:rPr>
              <w:instrText xml:space="preserve"> PAGEREF _Toc189162592 \h </w:instrText>
            </w:r>
            <w:r>
              <w:rPr>
                <w:noProof/>
                <w:webHidden/>
              </w:rPr>
            </w:r>
            <w:r>
              <w:rPr>
                <w:noProof/>
                <w:webHidden/>
              </w:rPr>
              <w:fldChar w:fldCharType="separate"/>
            </w:r>
            <w:r>
              <w:rPr>
                <w:noProof/>
                <w:webHidden/>
              </w:rPr>
              <w:t>35</w:t>
            </w:r>
            <w:r>
              <w:rPr>
                <w:noProof/>
                <w:webHidden/>
              </w:rPr>
              <w:fldChar w:fldCharType="end"/>
            </w:r>
          </w:hyperlink>
        </w:p>
        <w:p w14:paraId="66BCA4F1" w14:textId="4AB762B0"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3" w:history="1">
            <w:r w:rsidRPr="00123F7D">
              <w:rPr>
                <w:rStyle w:val="Hyperlink"/>
                <w:noProof/>
              </w:rPr>
              <w:t>4.2.3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Industrial Customers</w:t>
            </w:r>
            <w:r>
              <w:rPr>
                <w:noProof/>
                <w:webHidden/>
              </w:rPr>
              <w:tab/>
            </w:r>
            <w:r>
              <w:rPr>
                <w:noProof/>
                <w:webHidden/>
              </w:rPr>
              <w:fldChar w:fldCharType="begin"/>
            </w:r>
            <w:r>
              <w:rPr>
                <w:noProof/>
                <w:webHidden/>
              </w:rPr>
              <w:instrText xml:space="preserve"> PAGEREF _Toc189162593 \h </w:instrText>
            </w:r>
            <w:r>
              <w:rPr>
                <w:noProof/>
                <w:webHidden/>
              </w:rPr>
            </w:r>
            <w:r>
              <w:rPr>
                <w:noProof/>
                <w:webHidden/>
              </w:rPr>
              <w:fldChar w:fldCharType="separate"/>
            </w:r>
            <w:r>
              <w:rPr>
                <w:noProof/>
                <w:webHidden/>
              </w:rPr>
              <w:t>36</w:t>
            </w:r>
            <w:r>
              <w:rPr>
                <w:noProof/>
                <w:webHidden/>
              </w:rPr>
              <w:fldChar w:fldCharType="end"/>
            </w:r>
          </w:hyperlink>
        </w:p>
        <w:p w14:paraId="6E1095BA" w14:textId="4D64D694"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4" w:history="1">
            <w:r w:rsidRPr="00123F7D">
              <w:rPr>
                <w:rStyle w:val="Hyperlink"/>
                <w:noProof/>
              </w:rPr>
              <w:t>4.2.4</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Governmental Lighting Customers</w:t>
            </w:r>
            <w:r>
              <w:rPr>
                <w:noProof/>
                <w:webHidden/>
              </w:rPr>
              <w:tab/>
            </w:r>
            <w:r>
              <w:rPr>
                <w:noProof/>
                <w:webHidden/>
              </w:rPr>
              <w:fldChar w:fldCharType="begin"/>
            </w:r>
            <w:r>
              <w:rPr>
                <w:noProof/>
                <w:webHidden/>
              </w:rPr>
              <w:instrText xml:space="preserve"> PAGEREF _Toc189162594 \h </w:instrText>
            </w:r>
            <w:r>
              <w:rPr>
                <w:noProof/>
                <w:webHidden/>
              </w:rPr>
            </w:r>
            <w:r>
              <w:rPr>
                <w:noProof/>
                <w:webHidden/>
              </w:rPr>
              <w:fldChar w:fldCharType="separate"/>
            </w:r>
            <w:r>
              <w:rPr>
                <w:noProof/>
                <w:webHidden/>
              </w:rPr>
              <w:t>37</w:t>
            </w:r>
            <w:r>
              <w:rPr>
                <w:noProof/>
                <w:webHidden/>
              </w:rPr>
              <w:fldChar w:fldCharType="end"/>
            </w:r>
          </w:hyperlink>
        </w:p>
        <w:p w14:paraId="0D4CFB28" w14:textId="2DD79BA2"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95" w:history="1">
            <w:r w:rsidRPr="00123F7D">
              <w:rPr>
                <w:rStyle w:val="Hyperlink"/>
                <w:b/>
              </w:rPr>
              <w:t>4.3</w:t>
            </w:r>
            <w:r>
              <w:rPr>
                <w:rFonts w:asciiTheme="minorHAnsi" w:eastAsiaTheme="minorEastAsia" w:hAnsiTheme="minorHAnsi" w:cstheme="minorBidi"/>
                <w:bCs w:val="0"/>
                <w:caps w:val="0"/>
                <w:kern w:val="2"/>
                <w:szCs w:val="24"/>
                <w14:ligatures w14:val="standardContextual"/>
              </w:rPr>
              <w:tab/>
            </w:r>
            <w:r w:rsidRPr="00123F7D">
              <w:rPr>
                <w:rStyle w:val="Hyperlink"/>
                <w:b/>
              </w:rPr>
              <w:t>CALENDAR MONTH FORECAST</w:t>
            </w:r>
            <w:r>
              <w:rPr>
                <w:webHidden/>
              </w:rPr>
              <w:tab/>
            </w:r>
            <w:r>
              <w:rPr>
                <w:webHidden/>
              </w:rPr>
              <w:fldChar w:fldCharType="begin"/>
            </w:r>
            <w:r>
              <w:rPr>
                <w:webHidden/>
              </w:rPr>
              <w:instrText xml:space="preserve"> PAGEREF _Toc189162595 \h </w:instrText>
            </w:r>
            <w:r>
              <w:rPr>
                <w:webHidden/>
              </w:rPr>
            </w:r>
            <w:r>
              <w:rPr>
                <w:webHidden/>
              </w:rPr>
              <w:fldChar w:fldCharType="separate"/>
            </w:r>
            <w:r>
              <w:rPr>
                <w:webHidden/>
              </w:rPr>
              <w:t>38</w:t>
            </w:r>
            <w:r>
              <w:rPr>
                <w:webHidden/>
              </w:rPr>
              <w:fldChar w:fldCharType="end"/>
            </w:r>
          </w:hyperlink>
        </w:p>
        <w:p w14:paraId="5D4BE74D" w14:textId="4921F419"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96" w:history="1">
            <w:r w:rsidRPr="00123F7D">
              <w:rPr>
                <w:rStyle w:val="Hyperlink"/>
                <w:b/>
              </w:rPr>
              <w:t>5.0</w:t>
            </w:r>
            <w:r>
              <w:rPr>
                <w:rFonts w:asciiTheme="minorHAnsi" w:eastAsiaTheme="minorEastAsia" w:hAnsiTheme="minorHAnsi" w:cstheme="minorBidi"/>
                <w:bCs w:val="0"/>
                <w:caps w:val="0"/>
                <w:kern w:val="2"/>
                <w:szCs w:val="24"/>
                <w14:ligatures w14:val="standardContextual"/>
              </w:rPr>
              <w:tab/>
            </w:r>
            <w:r w:rsidRPr="00123F7D">
              <w:rPr>
                <w:rStyle w:val="Hyperlink"/>
                <w:b/>
              </w:rPr>
              <w:t>LONG-TERM MODEL DESIGN</w:t>
            </w:r>
            <w:r>
              <w:rPr>
                <w:webHidden/>
              </w:rPr>
              <w:tab/>
            </w:r>
            <w:r>
              <w:rPr>
                <w:webHidden/>
              </w:rPr>
              <w:fldChar w:fldCharType="begin"/>
            </w:r>
            <w:r>
              <w:rPr>
                <w:webHidden/>
              </w:rPr>
              <w:instrText xml:space="preserve"> PAGEREF _Toc189162596 \h </w:instrText>
            </w:r>
            <w:r>
              <w:rPr>
                <w:webHidden/>
              </w:rPr>
            </w:r>
            <w:r>
              <w:rPr>
                <w:webHidden/>
              </w:rPr>
              <w:fldChar w:fldCharType="separate"/>
            </w:r>
            <w:r>
              <w:rPr>
                <w:webHidden/>
              </w:rPr>
              <w:t>39</w:t>
            </w:r>
            <w:r>
              <w:rPr>
                <w:webHidden/>
              </w:rPr>
              <w:fldChar w:fldCharType="end"/>
            </w:r>
          </w:hyperlink>
        </w:p>
        <w:p w14:paraId="43F55089" w14:textId="7A10CA7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597" w:history="1">
            <w:r w:rsidRPr="00123F7D">
              <w:rPr>
                <w:rStyle w:val="Hyperlink"/>
                <w:b/>
              </w:rPr>
              <w:t>5.1</w:t>
            </w:r>
            <w:r>
              <w:rPr>
                <w:rFonts w:asciiTheme="minorHAnsi" w:eastAsiaTheme="minorEastAsia" w:hAnsiTheme="minorHAnsi" w:cstheme="minorBidi"/>
                <w:bCs w:val="0"/>
                <w:caps w:val="0"/>
                <w:kern w:val="2"/>
                <w:szCs w:val="24"/>
                <w14:ligatures w14:val="standardContextual"/>
              </w:rPr>
              <w:tab/>
            </w:r>
            <w:r w:rsidRPr="00123F7D">
              <w:rPr>
                <w:rStyle w:val="Hyperlink"/>
                <w:b/>
              </w:rPr>
              <w:t>LONG-TERM ENERGY SALES</w:t>
            </w:r>
            <w:r>
              <w:rPr>
                <w:webHidden/>
              </w:rPr>
              <w:tab/>
            </w:r>
            <w:r>
              <w:rPr>
                <w:webHidden/>
              </w:rPr>
              <w:fldChar w:fldCharType="begin"/>
            </w:r>
            <w:r>
              <w:rPr>
                <w:webHidden/>
              </w:rPr>
              <w:instrText xml:space="preserve"> PAGEREF _Toc189162597 \h </w:instrText>
            </w:r>
            <w:r>
              <w:rPr>
                <w:webHidden/>
              </w:rPr>
            </w:r>
            <w:r>
              <w:rPr>
                <w:webHidden/>
              </w:rPr>
              <w:fldChar w:fldCharType="separate"/>
            </w:r>
            <w:r>
              <w:rPr>
                <w:webHidden/>
              </w:rPr>
              <w:t>40</w:t>
            </w:r>
            <w:r>
              <w:rPr>
                <w:webHidden/>
              </w:rPr>
              <w:fldChar w:fldCharType="end"/>
            </w:r>
          </w:hyperlink>
        </w:p>
        <w:p w14:paraId="351F7043" w14:textId="1C9AF019"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8" w:history="1">
            <w:r w:rsidRPr="00123F7D">
              <w:rPr>
                <w:rStyle w:val="Hyperlink"/>
                <w:noProof/>
              </w:rPr>
              <w:t>5.1.1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Residential Long-Term Energy Sales</w:t>
            </w:r>
            <w:r>
              <w:rPr>
                <w:noProof/>
                <w:webHidden/>
              </w:rPr>
              <w:tab/>
            </w:r>
            <w:r>
              <w:rPr>
                <w:noProof/>
                <w:webHidden/>
              </w:rPr>
              <w:fldChar w:fldCharType="begin"/>
            </w:r>
            <w:r>
              <w:rPr>
                <w:noProof/>
                <w:webHidden/>
              </w:rPr>
              <w:instrText xml:space="preserve"> PAGEREF _Toc189162598 \h </w:instrText>
            </w:r>
            <w:r>
              <w:rPr>
                <w:noProof/>
                <w:webHidden/>
              </w:rPr>
            </w:r>
            <w:r>
              <w:rPr>
                <w:noProof/>
                <w:webHidden/>
              </w:rPr>
              <w:fldChar w:fldCharType="separate"/>
            </w:r>
            <w:r>
              <w:rPr>
                <w:noProof/>
                <w:webHidden/>
              </w:rPr>
              <w:t>40</w:t>
            </w:r>
            <w:r>
              <w:rPr>
                <w:noProof/>
                <w:webHidden/>
              </w:rPr>
              <w:fldChar w:fldCharType="end"/>
            </w:r>
          </w:hyperlink>
        </w:p>
        <w:p w14:paraId="122281AD" w14:textId="3EC65848"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599" w:history="1">
            <w:r w:rsidRPr="00123F7D">
              <w:rPr>
                <w:rStyle w:val="Hyperlink"/>
                <w:noProof/>
              </w:rPr>
              <w:t>5.1.2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Commercial Long-Term Energy Sales</w:t>
            </w:r>
            <w:r>
              <w:rPr>
                <w:noProof/>
                <w:webHidden/>
              </w:rPr>
              <w:tab/>
            </w:r>
            <w:r>
              <w:rPr>
                <w:noProof/>
                <w:webHidden/>
              </w:rPr>
              <w:fldChar w:fldCharType="begin"/>
            </w:r>
            <w:r>
              <w:rPr>
                <w:noProof/>
                <w:webHidden/>
              </w:rPr>
              <w:instrText xml:space="preserve"> PAGEREF _Toc189162599 \h </w:instrText>
            </w:r>
            <w:r>
              <w:rPr>
                <w:noProof/>
                <w:webHidden/>
              </w:rPr>
            </w:r>
            <w:r>
              <w:rPr>
                <w:noProof/>
                <w:webHidden/>
              </w:rPr>
              <w:fldChar w:fldCharType="separate"/>
            </w:r>
            <w:r>
              <w:rPr>
                <w:noProof/>
                <w:webHidden/>
              </w:rPr>
              <w:t>69</w:t>
            </w:r>
            <w:r>
              <w:rPr>
                <w:noProof/>
                <w:webHidden/>
              </w:rPr>
              <w:fldChar w:fldCharType="end"/>
            </w:r>
          </w:hyperlink>
        </w:p>
        <w:p w14:paraId="50D57A53" w14:textId="7CD2041A"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0" w:history="1">
            <w:r w:rsidRPr="00123F7D">
              <w:rPr>
                <w:rStyle w:val="Hyperlink"/>
                <w:noProof/>
              </w:rPr>
              <w:t>5.1.3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Industrial Long-Term Energy Sales</w:t>
            </w:r>
            <w:r>
              <w:rPr>
                <w:noProof/>
                <w:webHidden/>
              </w:rPr>
              <w:tab/>
            </w:r>
            <w:r>
              <w:rPr>
                <w:noProof/>
                <w:webHidden/>
              </w:rPr>
              <w:fldChar w:fldCharType="begin"/>
            </w:r>
            <w:r>
              <w:rPr>
                <w:noProof/>
                <w:webHidden/>
              </w:rPr>
              <w:instrText xml:space="preserve"> PAGEREF _Toc189162600 \h </w:instrText>
            </w:r>
            <w:r>
              <w:rPr>
                <w:noProof/>
                <w:webHidden/>
              </w:rPr>
            </w:r>
            <w:r>
              <w:rPr>
                <w:noProof/>
                <w:webHidden/>
              </w:rPr>
              <w:fldChar w:fldCharType="separate"/>
            </w:r>
            <w:r>
              <w:rPr>
                <w:noProof/>
                <w:webHidden/>
              </w:rPr>
              <w:t>78</w:t>
            </w:r>
            <w:r>
              <w:rPr>
                <w:noProof/>
                <w:webHidden/>
              </w:rPr>
              <w:fldChar w:fldCharType="end"/>
            </w:r>
          </w:hyperlink>
        </w:p>
        <w:p w14:paraId="28C2B000" w14:textId="1179DE1C"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01" w:history="1">
            <w:r w:rsidRPr="00123F7D">
              <w:rPr>
                <w:rStyle w:val="Hyperlink"/>
                <w:b/>
              </w:rPr>
              <w:t>5.2</w:t>
            </w:r>
            <w:r>
              <w:rPr>
                <w:rFonts w:asciiTheme="minorHAnsi" w:eastAsiaTheme="minorEastAsia" w:hAnsiTheme="minorHAnsi" w:cstheme="minorBidi"/>
                <w:bCs w:val="0"/>
                <w:caps w:val="0"/>
                <w:kern w:val="2"/>
                <w:szCs w:val="24"/>
                <w14:ligatures w14:val="standardContextual"/>
              </w:rPr>
              <w:tab/>
            </w:r>
            <w:r w:rsidRPr="00123F7D">
              <w:rPr>
                <w:rStyle w:val="Hyperlink"/>
                <w:b/>
              </w:rPr>
              <w:t>ANNUAL TO MONTHLY BASED ENERGY FORECASTS AND SHORT-TERM INTEGRATION</w:t>
            </w:r>
            <w:r>
              <w:rPr>
                <w:webHidden/>
              </w:rPr>
              <w:tab/>
            </w:r>
            <w:r>
              <w:rPr>
                <w:webHidden/>
              </w:rPr>
              <w:fldChar w:fldCharType="begin"/>
            </w:r>
            <w:r>
              <w:rPr>
                <w:webHidden/>
              </w:rPr>
              <w:instrText xml:space="preserve"> PAGEREF _Toc189162601 \h </w:instrText>
            </w:r>
            <w:r>
              <w:rPr>
                <w:webHidden/>
              </w:rPr>
            </w:r>
            <w:r>
              <w:rPr>
                <w:webHidden/>
              </w:rPr>
              <w:fldChar w:fldCharType="separate"/>
            </w:r>
            <w:r>
              <w:rPr>
                <w:webHidden/>
              </w:rPr>
              <w:t>85</w:t>
            </w:r>
            <w:r>
              <w:rPr>
                <w:webHidden/>
              </w:rPr>
              <w:fldChar w:fldCharType="end"/>
            </w:r>
          </w:hyperlink>
        </w:p>
        <w:p w14:paraId="4FE6AE6A" w14:textId="63ECF358"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02" w:history="1">
            <w:r w:rsidRPr="00123F7D">
              <w:rPr>
                <w:rStyle w:val="Hyperlink"/>
                <w:b/>
              </w:rPr>
              <w:t>6.0</w:t>
            </w:r>
            <w:r>
              <w:rPr>
                <w:rFonts w:asciiTheme="minorHAnsi" w:eastAsiaTheme="minorEastAsia" w:hAnsiTheme="minorHAnsi" w:cstheme="minorBidi"/>
                <w:bCs w:val="0"/>
                <w:caps w:val="0"/>
                <w:kern w:val="2"/>
                <w:szCs w:val="24"/>
                <w14:ligatures w14:val="standardContextual"/>
              </w:rPr>
              <w:tab/>
            </w:r>
            <w:r w:rsidRPr="00123F7D">
              <w:rPr>
                <w:rStyle w:val="Hyperlink"/>
                <w:b/>
              </w:rPr>
              <w:t>PEAK DEMAND FORECAST</w:t>
            </w:r>
            <w:r>
              <w:rPr>
                <w:webHidden/>
              </w:rPr>
              <w:tab/>
            </w:r>
            <w:r>
              <w:rPr>
                <w:webHidden/>
              </w:rPr>
              <w:fldChar w:fldCharType="begin"/>
            </w:r>
            <w:r>
              <w:rPr>
                <w:webHidden/>
              </w:rPr>
              <w:instrText xml:space="preserve"> PAGEREF _Toc189162602 \h </w:instrText>
            </w:r>
            <w:r>
              <w:rPr>
                <w:webHidden/>
              </w:rPr>
            </w:r>
            <w:r>
              <w:rPr>
                <w:webHidden/>
              </w:rPr>
              <w:fldChar w:fldCharType="separate"/>
            </w:r>
            <w:r>
              <w:rPr>
                <w:webHidden/>
              </w:rPr>
              <w:t>86</w:t>
            </w:r>
            <w:r>
              <w:rPr>
                <w:webHidden/>
              </w:rPr>
              <w:fldChar w:fldCharType="end"/>
            </w:r>
          </w:hyperlink>
        </w:p>
        <w:p w14:paraId="5FBDFE1C" w14:textId="4A3624FC"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03" w:history="1">
            <w:r w:rsidRPr="00123F7D">
              <w:rPr>
                <w:rStyle w:val="Hyperlink"/>
                <w:b/>
              </w:rPr>
              <w:t>7.0</w:t>
            </w:r>
            <w:r>
              <w:rPr>
                <w:rFonts w:asciiTheme="minorHAnsi" w:eastAsiaTheme="minorEastAsia" w:hAnsiTheme="minorHAnsi" w:cstheme="minorBidi"/>
                <w:bCs w:val="0"/>
                <w:caps w:val="0"/>
                <w:kern w:val="2"/>
                <w:szCs w:val="24"/>
                <w14:ligatures w14:val="standardContextual"/>
              </w:rPr>
              <w:tab/>
            </w:r>
            <w:r w:rsidRPr="00123F7D">
              <w:rPr>
                <w:rStyle w:val="Hyperlink"/>
                <w:b/>
              </w:rPr>
              <w:t>FORECAST ADJUSTMENTS FOR LARGE CUSTOMERS</w:t>
            </w:r>
            <w:r>
              <w:rPr>
                <w:webHidden/>
              </w:rPr>
              <w:tab/>
            </w:r>
            <w:r>
              <w:rPr>
                <w:webHidden/>
              </w:rPr>
              <w:fldChar w:fldCharType="begin"/>
            </w:r>
            <w:r>
              <w:rPr>
                <w:webHidden/>
              </w:rPr>
              <w:instrText xml:space="preserve"> PAGEREF _Toc189162603 \h </w:instrText>
            </w:r>
            <w:r>
              <w:rPr>
                <w:webHidden/>
              </w:rPr>
            </w:r>
            <w:r>
              <w:rPr>
                <w:webHidden/>
              </w:rPr>
              <w:fldChar w:fldCharType="separate"/>
            </w:r>
            <w:r>
              <w:rPr>
                <w:webHidden/>
              </w:rPr>
              <w:t>102</w:t>
            </w:r>
            <w:r>
              <w:rPr>
                <w:webHidden/>
              </w:rPr>
              <w:fldChar w:fldCharType="end"/>
            </w:r>
          </w:hyperlink>
        </w:p>
        <w:p w14:paraId="16CA5DB4" w14:textId="3443A273"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04" w:history="1">
            <w:r w:rsidRPr="00123F7D">
              <w:rPr>
                <w:rStyle w:val="Hyperlink"/>
                <w:b/>
              </w:rPr>
              <w:t>7.1</w:t>
            </w:r>
            <w:r>
              <w:rPr>
                <w:rFonts w:asciiTheme="minorHAnsi" w:eastAsiaTheme="minorEastAsia" w:hAnsiTheme="minorHAnsi" w:cstheme="minorBidi"/>
                <w:bCs w:val="0"/>
                <w:caps w:val="0"/>
                <w:kern w:val="2"/>
                <w:szCs w:val="24"/>
                <w14:ligatures w14:val="standardContextual"/>
              </w:rPr>
              <w:tab/>
            </w:r>
            <w:r w:rsidRPr="00123F7D">
              <w:rPr>
                <w:rStyle w:val="Hyperlink"/>
                <w:b/>
              </w:rPr>
              <w:t>MODEL OVERVIEW</w:t>
            </w:r>
            <w:r>
              <w:rPr>
                <w:webHidden/>
              </w:rPr>
              <w:tab/>
            </w:r>
            <w:r>
              <w:rPr>
                <w:webHidden/>
              </w:rPr>
              <w:fldChar w:fldCharType="begin"/>
            </w:r>
            <w:r>
              <w:rPr>
                <w:webHidden/>
              </w:rPr>
              <w:instrText xml:space="preserve"> PAGEREF _Toc189162604 \h </w:instrText>
            </w:r>
            <w:r>
              <w:rPr>
                <w:webHidden/>
              </w:rPr>
            </w:r>
            <w:r>
              <w:rPr>
                <w:webHidden/>
              </w:rPr>
              <w:fldChar w:fldCharType="separate"/>
            </w:r>
            <w:r>
              <w:rPr>
                <w:webHidden/>
              </w:rPr>
              <w:t>103</w:t>
            </w:r>
            <w:r>
              <w:rPr>
                <w:webHidden/>
              </w:rPr>
              <w:fldChar w:fldCharType="end"/>
            </w:r>
          </w:hyperlink>
        </w:p>
        <w:p w14:paraId="6C797A96" w14:textId="02CDD01B"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5" w:history="1">
            <w:r w:rsidRPr="00123F7D">
              <w:rPr>
                <w:rStyle w:val="Hyperlink"/>
                <w:noProof/>
              </w:rPr>
              <w:t>7.1.1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Known Project Inputs</w:t>
            </w:r>
            <w:r>
              <w:rPr>
                <w:noProof/>
                <w:webHidden/>
              </w:rPr>
              <w:tab/>
            </w:r>
            <w:r>
              <w:rPr>
                <w:noProof/>
                <w:webHidden/>
              </w:rPr>
              <w:fldChar w:fldCharType="begin"/>
            </w:r>
            <w:r>
              <w:rPr>
                <w:noProof/>
                <w:webHidden/>
              </w:rPr>
              <w:instrText xml:space="preserve"> PAGEREF _Toc189162605 \h </w:instrText>
            </w:r>
            <w:r>
              <w:rPr>
                <w:noProof/>
                <w:webHidden/>
              </w:rPr>
            </w:r>
            <w:r>
              <w:rPr>
                <w:noProof/>
                <w:webHidden/>
              </w:rPr>
              <w:fldChar w:fldCharType="separate"/>
            </w:r>
            <w:r>
              <w:rPr>
                <w:noProof/>
                <w:webHidden/>
              </w:rPr>
              <w:t>103</w:t>
            </w:r>
            <w:r>
              <w:rPr>
                <w:noProof/>
                <w:webHidden/>
              </w:rPr>
              <w:fldChar w:fldCharType="end"/>
            </w:r>
          </w:hyperlink>
        </w:p>
        <w:p w14:paraId="0B60AF2D" w14:textId="7DB00F01"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6" w:history="1">
            <w:r w:rsidRPr="00123F7D">
              <w:rPr>
                <w:rStyle w:val="Hyperlink"/>
                <w:noProof/>
              </w:rPr>
              <w:t>7.1.2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Modeling Project Uncertainty</w:t>
            </w:r>
            <w:r>
              <w:rPr>
                <w:noProof/>
                <w:webHidden/>
              </w:rPr>
              <w:tab/>
            </w:r>
            <w:r>
              <w:rPr>
                <w:noProof/>
                <w:webHidden/>
              </w:rPr>
              <w:fldChar w:fldCharType="begin"/>
            </w:r>
            <w:r>
              <w:rPr>
                <w:noProof/>
                <w:webHidden/>
              </w:rPr>
              <w:instrText xml:space="preserve"> PAGEREF _Toc189162606 \h </w:instrText>
            </w:r>
            <w:r>
              <w:rPr>
                <w:noProof/>
                <w:webHidden/>
              </w:rPr>
            </w:r>
            <w:r>
              <w:rPr>
                <w:noProof/>
                <w:webHidden/>
              </w:rPr>
              <w:fldChar w:fldCharType="separate"/>
            </w:r>
            <w:r>
              <w:rPr>
                <w:noProof/>
                <w:webHidden/>
              </w:rPr>
              <w:t>103</w:t>
            </w:r>
            <w:r>
              <w:rPr>
                <w:noProof/>
                <w:webHidden/>
              </w:rPr>
              <w:fldChar w:fldCharType="end"/>
            </w:r>
          </w:hyperlink>
        </w:p>
        <w:p w14:paraId="172D0D5E" w14:textId="70923FD5"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7" w:history="1">
            <w:r w:rsidRPr="00123F7D">
              <w:rPr>
                <w:rStyle w:val="Hyperlink"/>
                <w:noProof/>
              </w:rPr>
              <w:t>7.1.3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Project Success</w:t>
            </w:r>
            <w:r>
              <w:rPr>
                <w:noProof/>
                <w:webHidden/>
              </w:rPr>
              <w:tab/>
            </w:r>
            <w:r>
              <w:rPr>
                <w:noProof/>
                <w:webHidden/>
              </w:rPr>
              <w:fldChar w:fldCharType="begin"/>
            </w:r>
            <w:r>
              <w:rPr>
                <w:noProof/>
                <w:webHidden/>
              </w:rPr>
              <w:instrText xml:space="preserve"> PAGEREF _Toc189162607 \h </w:instrText>
            </w:r>
            <w:r>
              <w:rPr>
                <w:noProof/>
                <w:webHidden/>
              </w:rPr>
            </w:r>
            <w:r>
              <w:rPr>
                <w:noProof/>
                <w:webHidden/>
              </w:rPr>
              <w:fldChar w:fldCharType="separate"/>
            </w:r>
            <w:r>
              <w:rPr>
                <w:noProof/>
                <w:webHidden/>
              </w:rPr>
              <w:t>104</w:t>
            </w:r>
            <w:r>
              <w:rPr>
                <w:noProof/>
                <w:webHidden/>
              </w:rPr>
              <w:fldChar w:fldCharType="end"/>
            </w:r>
          </w:hyperlink>
        </w:p>
        <w:p w14:paraId="36669595" w14:textId="762053F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8" w:history="1">
            <w:r w:rsidRPr="00123F7D">
              <w:rPr>
                <w:rStyle w:val="Hyperlink"/>
                <w:noProof/>
              </w:rPr>
              <w:t>7.1.4</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State Selection</w:t>
            </w:r>
            <w:r>
              <w:rPr>
                <w:noProof/>
                <w:webHidden/>
              </w:rPr>
              <w:tab/>
            </w:r>
            <w:r>
              <w:rPr>
                <w:noProof/>
                <w:webHidden/>
              </w:rPr>
              <w:fldChar w:fldCharType="begin"/>
            </w:r>
            <w:r>
              <w:rPr>
                <w:noProof/>
                <w:webHidden/>
              </w:rPr>
              <w:instrText xml:space="preserve"> PAGEREF _Toc189162608 \h </w:instrText>
            </w:r>
            <w:r>
              <w:rPr>
                <w:noProof/>
                <w:webHidden/>
              </w:rPr>
            </w:r>
            <w:r>
              <w:rPr>
                <w:noProof/>
                <w:webHidden/>
              </w:rPr>
              <w:fldChar w:fldCharType="separate"/>
            </w:r>
            <w:r>
              <w:rPr>
                <w:noProof/>
                <w:webHidden/>
              </w:rPr>
              <w:t>104</w:t>
            </w:r>
            <w:r>
              <w:rPr>
                <w:noProof/>
                <w:webHidden/>
              </w:rPr>
              <w:fldChar w:fldCharType="end"/>
            </w:r>
          </w:hyperlink>
        </w:p>
        <w:p w14:paraId="18854515" w14:textId="61B2C471"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09" w:history="1">
            <w:r w:rsidRPr="00123F7D">
              <w:rPr>
                <w:rStyle w:val="Hyperlink"/>
                <w:noProof/>
              </w:rPr>
              <w:t>7.1.5</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Electric Service Provider</w:t>
            </w:r>
            <w:r>
              <w:rPr>
                <w:noProof/>
                <w:webHidden/>
              </w:rPr>
              <w:tab/>
            </w:r>
            <w:r>
              <w:rPr>
                <w:noProof/>
                <w:webHidden/>
              </w:rPr>
              <w:fldChar w:fldCharType="begin"/>
            </w:r>
            <w:r>
              <w:rPr>
                <w:noProof/>
                <w:webHidden/>
              </w:rPr>
              <w:instrText xml:space="preserve"> PAGEREF _Toc189162609 \h </w:instrText>
            </w:r>
            <w:r>
              <w:rPr>
                <w:noProof/>
                <w:webHidden/>
              </w:rPr>
            </w:r>
            <w:r>
              <w:rPr>
                <w:noProof/>
                <w:webHidden/>
              </w:rPr>
              <w:fldChar w:fldCharType="separate"/>
            </w:r>
            <w:r>
              <w:rPr>
                <w:noProof/>
                <w:webHidden/>
              </w:rPr>
              <w:t>105</w:t>
            </w:r>
            <w:r>
              <w:rPr>
                <w:noProof/>
                <w:webHidden/>
              </w:rPr>
              <w:fldChar w:fldCharType="end"/>
            </w:r>
          </w:hyperlink>
        </w:p>
        <w:p w14:paraId="4BB7E2D6" w14:textId="262D3C98"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10" w:history="1">
            <w:r w:rsidRPr="00123F7D">
              <w:rPr>
                <w:rStyle w:val="Hyperlink"/>
                <w:noProof/>
              </w:rPr>
              <w:t>7.1.6</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Project Reaching Commercial Operation</w:t>
            </w:r>
            <w:r>
              <w:rPr>
                <w:noProof/>
                <w:webHidden/>
              </w:rPr>
              <w:tab/>
            </w:r>
            <w:r>
              <w:rPr>
                <w:noProof/>
                <w:webHidden/>
              </w:rPr>
              <w:fldChar w:fldCharType="begin"/>
            </w:r>
            <w:r>
              <w:rPr>
                <w:noProof/>
                <w:webHidden/>
              </w:rPr>
              <w:instrText xml:space="preserve"> PAGEREF _Toc189162610 \h </w:instrText>
            </w:r>
            <w:r>
              <w:rPr>
                <w:noProof/>
                <w:webHidden/>
              </w:rPr>
            </w:r>
            <w:r>
              <w:rPr>
                <w:noProof/>
                <w:webHidden/>
              </w:rPr>
              <w:fldChar w:fldCharType="separate"/>
            </w:r>
            <w:r>
              <w:rPr>
                <w:noProof/>
                <w:webHidden/>
              </w:rPr>
              <w:t>105</w:t>
            </w:r>
            <w:r>
              <w:rPr>
                <w:noProof/>
                <w:webHidden/>
              </w:rPr>
              <w:fldChar w:fldCharType="end"/>
            </w:r>
          </w:hyperlink>
        </w:p>
        <w:p w14:paraId="68860C06" w14:textId="62530308"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11" w:history="1">
            <w:r w:rsidRPr="00123F7D">
              <w:rPr>
                <w:rStyle w:val="Hyperlink"/>
                <w:noProof/>
              </w:rPr>
              <w:t>7.1.7</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Announced Load vs. Metered Load</w:t>
            </w:r>
            <w:r>
              <w:rPr>
                <w:noProof/>
                <w:webHidden/>
              </w:rPr>
              <w:tab/>
            </w:r>
            <w:r>
              <w:rPr>
                <w:noProof/>
                <w:webHidden/>
              </w:rPr>
              <w:fldChar w:fldCharType="begin"/>
            </w:r>
            <w:r>
              <w:rPr>
                <w:noProof/>
                <w:webHidden/>
              </w:rPr>
              <w:instrText xml:space="preserve"> PAGEREF _Toc189162611 \h </w:instrText>
            </w:r>
            <w:r>
              <w:rPr>
                <w:noProof/>
                <w:webHidden/>
              </w:rPr>
            </w:r>
            <w:r>
              <w:rPr>
                <w:noProof/>
                <w:webHidden/>
              </w:rPr>
              <w:fldChar w:fldCharType="separate"/>
            </w:r>
            <w:r>
              <w:rPr>
                <w:noProof/>
                <w:webHidden/>
              </w:rPr>
              <w:t>105</w:t>
            </w:r>
            <w:r>
              <w:rPr>
                <w:noProof/>
                <w:webHidden/>
              </w:rPr>
              <w:fldChar w:fldCharType="end"/>
            </w:r>
          </w:hyperlink>
        </w:p>
        <w:p w14:paraId="79882BAD" w14:textId="04E7A7C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12" w:history="1">
            <w:r w:rsidRPr="00123F7D">
              <w:rPr>
                <w:rStyle w:val="Hyperlink"/>
                <w:noProof/>
              </w:rPr>
              <w:t>7.1.8</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Commercial Operation Date Delays</w:t>
            </w:r>
            <w:r>
              <w:rPr>
                <w:noProof/>
                <w:webHidden/>
              </w:rPr>
              <w:tab/>
            </w:r>
            <w:r>
              <w:rPr>
                <w:noProof/>
                <w:webHidden/>
              </w:rPr>
              <w:fldChar w:fldCharType="begin"/>
            </w:r>
            <w:r>
              <w:rPr>
                <w:noProof/>
                <w:webHidden/>
              </w:rPr>
              <w:instrText xml:space="preserve"> PAGEREF _Toc189162612 \h </w:instrText>
            </w:r>
            <w:r>
              <w:rPr>
                <w:noProof/>
                <w:webHidden/>
              </w:rPr>
            </w:r>
            <w:r>
              <w:rPr>
                <w:noProof/>
                <w:webHidden/>
              </w:rPr>
              <w:fldChar w:fldCharType="separate"/>
            </w:r>
            <w:r>
              <w:rPr>
                <w:noProof/>
                <w:webHidden/>
              </w:rPr>
              <w:t>106</w:t>
            </w:r>
            <w:r>
              <w:rPr>
                <w:noProof/>
                <w:webHidden/>
              </w:rPr>
              <w:fldChar w:fldCharType="end"/>
            </w:r>
          </w:hyperlink>
        </w:p>
        <w:p w14:paraId="78008275" w14:textId="3958D5F1"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13" w:history="1">
            <w:r w:rsidRPr="00123F7D">
              <w:rPr>
                <w:rStyle w:val="Hyperlink"/>
                <w:b/>
              </w:rPr>
              <w:t>7.2</w:t>
            </w:r>
            <w:r>
              <w:rPr>
                <w:rFonts w:asciiTheme="minorHAnsi" w:eastAsiaTheme="minorEastAsia" w:hAnsiTheme="minorHAnsi" w:cstheme="minorBidi"/>
                <w:bCs w:val="0"/>
                <w:caps w:val="0"/>
                <w:kern w:val="2"/>
                <w:szCs w:val="24"/>
                <w14:ligatures w14:val="standardContextual"/>
              </w:rPr>
              <w:tab/>
            </w:r>
            <w:r w:rsidRPr="00123F7D">
              <w:rPr>
                <w:rStyle w:val="Hyperlink"/>
                <w:b/>
              </w:rPr>
              <w:t>MODELING THE PORTFOLIO</w:t>
            </w:r>
            <w:r>
              <w:rPr>
                <w:webHidden/>
              </w:rPr>
              <w:tab/>
            </w:r>
            <w:r>
              <w:rPr>
                <w:webHidden/>
              </w:rPr>
              <w:fldChar w:fldCharType="begin"/>
            </w:r>
            <w:r>
              <w:rPr>
                <w:webHidden/>
              </w:rPr>
              <w:instrText xml:space="preserve"> PAGEREF _Toc189162613 \h </w:instrText>
            </w:r>
            <w:r>
              <w:rPr>
                <w:webHidden/>
              </w:rPr>
            </w:r>
            <w:r>
              <w:rPr>
                <w:webHidden/>
              </w:rPr>
              <w:fldChar w:fldCharType="separate"/>
            </w:r>
            <w:r>
              <w:rPr>
                <w:webHidden/>
              </w:rPr>
              <w:t>106</w:t>
            </w:r>
            <w:r>
              <w:rPr>
                <w:webHidden/>
              </w:rPr>
              <w:fldChar w:fldCharType="end"/>
            </w:r>
          </w:hyperlink>
        </w:p>
        <w:p w14:paraId="4699B106" w14:textId="59E02DC4"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14" w:history="1">
            <w:r w:rsidRPr="00123F7D">
              <w:rPr>
                <w:rStyle w:val="Hyperlink"/>
                <w:noProof/>
              </w:rPr>
              <w:t xml:space="preserve">7.2.1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Model Implementation</w:t>
            </w:r>
            <w:r>
              <w:rPr>
                <w:noProof/>
                <w:webHidden/>
              </w:rPr>
              <w:tab/>
            </w:r>
            <w:r>
              <w:rPr>
                <w:noProof/>
                <w:webHidden/>
              </w:rPr>
              <w:fldChar w:fldCharType="begin"/>
            </w:r>
            <w:r>
              <w:rPr>
                <w:noProof/>
                <w:webHidden/>
              </w:rPr>
              <w:instrText xml:space="preserve"> PAGEREF _Toc189162614 \h </w:instrText>
            </w:r>
            <w:r>
              <w:rPr>
                <w:noProof/>
                <w:webHidden/>
              </w:rPr>
            </w:r>
            <w:r>
              <w:rPr>
                <w:noProof/>
                <w:webHidden/>
              </w:rPr>
              <w:fldChar w:fldCharType="separate"/>
            </w:r>
            <w:r>
              <w:rPr>
                <w:noProof/>
                <w:webHidden/>
              </w:rPr>
              <w:t>107</w:t>
            </w:r>
            <w:r>
              <w:rPr>
                <w:noProof/>
                <w:webHidden/>
              </w:rPr>
              <w:fldChar w:fldCharType="end"/>
            </w:r>
          </w:hyperlink>
        </w:p>
        <w:p w14:paraId="11290A06" w14:textId="5C3A3959"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15" w:history="1">
            <w:r w:rsidRPr="00123F7D">
              <w:rPr>
                <w:rStyle w:val="Hyperlink"/>
                <w:noProof/>
              </w:rPr>
              <w:t xml:space="preserve">7.2.2 </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Simulation Results</w:t>
            </w:r>
            <w:r>
              <w:rPr>
                <w:noProof/>
                <w:webHidden/>
              </w:rPr>
              <w:tab/>
            </w:r>
            <w:r>
              <w:rPr>
                <w:noProof/>
                <w:webHidden/>
              </w:rPr>
              <w:fldChar w:fldCharType="begin"/>
            </w:r>
            <w:r>
              <w:rPr>
                <w:noProof/>
                <w:webHidden/>
              </w:rPr>
              <w:instrText xml:space="preserve"> PAGEREF _Toc189162615 \h </w:instrText>
            </w:r>
            <w:r>
              <w:rPr>
                <w:noProof/>
                <w:webHidden/>
              </w:rPr>
            </w:r>
            <w:r>
              <w:rPr>
                <w:noProof/>
                <w:webHidden/>
              </w:rPr>
              <w:fldChar w:fldCharType="separate"/>
            </w:r>
            <w:r>
              <w:rPr>
                <w:noProof/>
                <w:webHidden/>
              </w:rPr>
              <w:t>107</w:t>
            </w:r>
            <w:r>
              <w:rPr>
                <w:noProof/>
                <w:webHidden/>
              </w:rPr>
              <w:fldChar w:fldCharType="end"/>
            </w:r>
          </w:hyperlink>
        </w:p>
        <w:p w14:paraId="6E724FA9" w14:textId="7C1DB985"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16" w:history="1">
            <w:r w:rsidRPr="00123F7D">
              <w:rPr>
                <w:rStyle w:val="Hyperlink"/>
                <w:b/>
              </w:rPr>
              <w:t>7.3 TRIANGULAR DISTRIBUTION</w:t>
            </w:r>
            <w:r>
              <w:rPr>
                <w:webHidden/>
              </w:rPr>
              <w:tab/>
            </w:r>
            <w:r>
              <w:rPr>
                <w:webHidden/>
              </w:rPr>
              <w:fldChar w:fldCharType="begin"/>
            </w:r>
            <w:r>
              <w:rPr>
                <w:webHidden/>
              </w:rPr>
              <w:instrText xml:space="preserve"> PAGEREF _Toc189162616 \h </w:instrText>
            </w:r>
            <w:r>
              <w:rPr>
                <w:webHidden/>
              </w:rPr>
            </w:r>
            <w:r>
              <w:rPr>
                <w:webHidden/>
              </w:rPr>
              <w:fldChar w:fldCharType="separate"/>
            </w:r>
            <w:r>
              <w:rPr>
                <w:webHidden/>
              </w:rPr>
              <w:t>108</w:t>
            </w:r>
            <w:r>
              <w:rPr>
                <w:webHidden/>
              </w:rPr>
              <w:fldChar w:fldCharType="end"/>
            </w:r>
          </w:hyperlink>
        </w:p>
        <w:p w14:paraId="3266EB2D" w14:textId="192C7978"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17" w:history="1">
            <w:r w:rsidRPr="00123F7D">
              <w:rPr>
                <w:rStyle w:val="Hyperlink"/>
                <w:b/>
              </w:rPr>
              <w:t>8.0</w:t>
            </w:r>
            <w:r>
              <w:rPr>
                <w:rFonts w:asciiTheme="minorHAnsi" w:eastAsiaTheme="minorEastAsia" w:hAnsiTheme="minorHAnsi" w:cstheme="minorBidi"/>
                <w:bCs w:val="0"/>
                <w:caps w:val="0"/>
                <w:kern w:val="2"/>
                <w:szCs w:val="24"/>
                <w14:ligatures w14:val="standardContextual"/>
              </w:rPr>
              <w:tab/>
            </w:r>
            <w:r w:rsidRPr="00123F7D">
              <w:rPr>
                <w:rStyle w:val="Hyperlink"/>
                <w:b/>
              </w:rPr>
              <w:t>SENSITIVITY AND SCENARIO DEVELOPMENT OVERVIEW</w:t>
            </w:r>
            <w:r>
              <w:rPr>
                <w:webHidden/>
              </w:rPr>
              <w:tab/>
            </w:r>
            <w:r>
              <w:rPr>
                <w:webHidden/>
              </w:rPr>
              <w:fldChar w:fldCharType="begin"/>
            </w:r>
            <w:r>
              <w:rPr>
                <w:webHidden/>
              </w:rPr>
              <w:instrText xml:space="preserve"> PAGEREF _Toc189162617 \h </w:instrText>
            </w:r>
            <w:r>
              <w:rPr>
                <w:webHidden/>
              </w:rPr>
            </w:r>
            <w:r>
              <w:rPr>
                <w:webHidden/>
              </w:rPr>
              <w:fldChar w:fldCharType="separate"/>
            </w:r>
            <w:r>
              <w:rPr>
                <w:webHidden/>
              </w:rPr>
              <w:t>111</w:t>
            </w:r>
            <w:r>
              <w:rPr>
                <w:webHidden/>
              </w:rPr>
              <w:fldChar w:fldCharType="end"/>
            </w:r>
          </w:hyperlink>
        </w:p>
        <w:p w14:paraId="3158DCAA" w14:textId="69408619"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18" w:history="1">
            <w:r w:rsidRPr="00123F7D">
              <w:rPr>
                <w:rStyle w:val="Hyperlink"/>
                <w:b/>
              </w:rPr>
              <w:t>8.1</w:t>
            </w:r>
            <w:r>
              <w:rPr>
                <w:rFonts w:asciiTheme="minorHAnsi" w:eastAsiaTheme="minorEastAsia" w:hAnsiTheme="minorHAnsi" w:cstheme="minorBidi"/>
                <w:bCs w:val="0"/>
                <w:caps w:val="0"/>
                <w:kern w:val="2"/>
                <w:szCs w:val="24"/>
                <w14:ligatures w14:val="standardContextual"/>
              </w:rPr>
              <w:tab/>
            </w:r>
            <w:r w:rsidRPr="00123F7D">
              <w:rPr>
                <w:rStyle w:val="Hyperlink"/>
                <w:b/>
              </w:rPr>
              <w:t>SENSITIVITIES</w:t>
            </w:r>
            <w:r>
              <w:rPr>
                <w:webHidden/>
              </w:rPr>
              <w:tab/>
            </w:r>
            <w:r>
              <w:rPr>
                <w:webHidden/>
              </w:rPr>
              <w:fldChar w:fldCharType="begin"/>
            </w:r>
            <w:r>
              <w:rPr>
                <w:webHidden/>
              </w:rPr>
              <w:instrText xml:space="preserve"> PAGEREF _Toc189162618 \h </w:instrText>
            </w:r>
            <w:r>
              <w:rPr>
                <w:webHidden/>
              </w:rPr>
            </w:r>
            <w:r>
              <w:rPr>
                <w:webHidden/>
              </w:rPr>
              <w:fldChar w:fldCharType="separate"/>
            </w:r>
            <w:r>
              <w:rPr>
                <w:webHidden/>
              </w:rPr>
              <w:t>111</w:t>
            </w:r>
            <w:r>
              <w:rPr>
                <w:webHidden/>
              </w:rPr>
              <w:fldChar w:fldCharType="end"/>
            </w:r>
          </w:hyperlink>
        </w:p>
        <w:p w14:paraId="39162BE4" w14:textId="323A74AE"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19" w:history="1">
            <w:r w:rsidRPr="00123F7D">
              <w:rPr>
                <w:rStyle w:val="Hyperlink"/>
                <w:b/>
              </w:rPr>
              <w:t>8.2</w:t>
            </w:r>
            <w:r>
              <w:rPr>
                <w:rFonts w:asciiTheme="minorHAnsi" w:eastAsiaTheme="minorEastAsia" w:hAnsiTheme="minorHAnsi" w:cstheme="minorBidi"/>
                <w:bCs w:val="0"/>
                <w:caps w:val="0"/>
                <w:kern w:val="2"/>
                <w:szCs w:val="24"/>
                <w14:ligatures w14:val="standardContextual"/>
              </w:rPr>
              <w:tab/>
            </w:r>
            <w:r w:rsidRPr="00123F7D">
              <w:rPr>
                <w:rStyle w:val="Hyperlink"/>
                <w:b/>
              </w:rPr>
              <w:t>SCENARIOS</w:t>
            </w:r>
            <w:r>
              <w:rPr>
                <w:webHidden/>
              </w:rPr>
              <w:tab/>
            </w:r>
            <w:r>
              <w:rPr>
                <w:webHidden/>
              </w:rPr>
              <w:fldChar w:fldCharType="begin"/>
            </w:r>
            <w:r>
              <w:rPr>
                <w:webHidden/>
              </w:rPr>
              <w:instrText xml:space="preserve"> PAGEREF _Toc189162619 \h </w:instrText>
            </w:r>
            <w:r>
              <w:rPr>
                <w:webHidden/>
              </w:rPr>
            </w:r>
            <w:r>
              <w:rPr>
                <w:webHidden/>
              </w:rPr>
              <w:fldChar w:fldCharType="separate"/>
            </w:r>
            <w:r>
              <w:rPr>
                <w:webHidden/>
              </w:rPr>
              <w:t>116</w:t>
            </w:r>
            <w:r>
              <w:rPr>
                <w:webHidden/>
              </w:rPr>
              <w:fldChar w:fldCharType="end"/>
            </w:r>
          </w:hyperlink>
        </w:p>
        <w:p w14:paraId="229EA445" w14:textId="208A79F9"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20" w:history="1">
            <w:r w:rsidRPr="00123F7D">
              <w:rPr>
                <w:rStyle w:val="Hyperlink"/>
                <w:noProof/>
              </w:rPr>
              <w:t>8.2.1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Future Load Growth</w:t>
            </w:r>
            <w:r>
              <w:rPr>
                <w:noProof/>
                <w:webHidden/>
              </w:rPr>
              <w:tab/>
            </w:r>
            <w:r>
              <w:rPr>
                <w:noProof/>
                <w:webHidden/>
              </w:rPr>
              <w:fldChar w:fldCharType="begin"/>
            </w:r>
            <w:r>
              <w:rPr>
                <w:noProof/>
                <w:webHidden/>
              </w:rPr>
              <w:instrText xml:space="preserve"> PAGEREF _Toc189162620 \h </w:instrText>
            </w:r>
            <w:r>
              <w:rPr>
                <w:noProof/>
                <w:webHidden/>
              </w:rPr>
            </w:r>
            <w:r>
              <w:rPr>
                <w:noProof/>
                <w:webHidden/>
              </w:rPr>
              <w:fldChar w:fldCharType="separate"/>
            </w:r>
            <w:r>
              <w:rPr>
                <w:noProof/>
                <w:webHidden/>
              </w:rPr>
              <w:t>117</w:t>
            </w:r>
            <w:r>
              <w:rPr>
                <w:noProof/>
                <w:webHidden/>
              </w:rPr>
              <w:fldChar w:fldCharType="end"/>
            </w:r>
          </w:hyperlink>
        </w:p>
        <w:p w14:paraId="3B10A7C2" w14:textId="5B1BD2EF"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21" w:history="1">
            <w:r w:rsidRPr="00123F7D">
              <w:rPr>
                <w:rStyle w:val="Hyperlink"/>
                <w:b/>
              </w:rPr>
              <w:t>9.0</w:t>
            </w:r>
            <w:r>
              <w:rPr>
                <w:rFonts w:asciiTheme="minorHAnsi" w:eastAsiaTheme="minorEastAsia" w:hAnsiTheme="minorHAnsi" w:cstheme="minorBidi"/>
                <w:bCs w:val="0"/>
                <w:caps w:val="0"/>
                <w:kern w:val="2"/>
                <w:szCs w:val="24"/>
                <w14:ligatures w14:val="standardContextual"/>
              </w:rPr>
              <w:tab/>
            </w:r>
            <w:r w:rsidRPr="00123F7D">
              <w:rPr>
                <w:rStyle w:val="Hyperlink"/>
                <w:b/>
              </w:rPr>
              <w:t>FORECAST ASSUMPTIONS OVERVIEW</w:t>
            </w:r>
            <w:r>
              <w:rPr>
                <w:webHidden/>
              </w:rPr>
              <w:tab/>
            </w:r>
            <w:r>
              <w:rPr>
                <w:webHidden/>
              </w:rPr>
              <w:fldChar w:fldCharType="begin"/>
            </w:r>
            <w:r>
              <w:rPr>
                <w:webHidden/>
              </w:rPr>
              <w:instrText xml:space="preserve"> PAGEREF _Toc189162621 \h </w:instrText>
            </w:r>
            <w:r>
              <w:rPr>
                <w:webHidden/>
              </w:rPr>
            </w:r>
            <w:r>
              <w:rPr>
                <w:webHidden/>
              </w:rPr>
              <w:fldChar w:fldCharType="separate"/>
            </w:r>
            <w:r>
              <w:rPr>
                <w:webHidden/>
              </w:rPr>
              <w:t>119</w:t>
            </w:r>
            <w:r>
              <w:rPr>
                <w:webHidden/>
              </w:rPr>
              <w:fldChar w:fldCharType="end"/>
            </w:r>
          </w:hyperlink>
        </w:p>
        <w:p w14:paraId="09009C44" w14:textId="7CE25239"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22" w:history="1">
            <w:r w:rsidRPr="00123F7D">
              <w:rPr>
                <w:rStyle w:val="Hyperlink"/>
                <w:b/>
              </w:rPr>
              <w:t>9.1</w:t>
            </w:r>
            <w:r>
              <w:rPr>
                <w:rFonts w:asciiTheme="minorHAnsi" w:eastAsiaTheme="minorEastAsia" w:hAnsiTheme="minorHAnsi" w:cstheme="minorBidi"/>
                <w:bCs w:val="0"/>
                <w:caps w:val="0"/>
                <w:kern w:val="2"/>
                <w:szCs w:val="24"/>
                <w14:ligatures w14:val="standardContextual"/>
              </w:rPr>
              <w:tab/>
            </w:r>
            <w:r w:rsidRPr="00123F7D">
              <w:rPr>
                <w:rStyle w:val="Hyperlink"/>
                <w:b/>
              </w:rPr>
              <w:t>SHORT-TERM ENERGY MODEL ECONOMIC ASSUMPTIONS</w:t>
            </w:r>
            <w:r>
              <w:rPr>
                <w:webHidden/>
              </w:rPr>
              <w:tab/>
            </w:r>
            <w:r>
              <w:rPr>
                <w:webHidden/>
              </w:rPr>
              <w:fldChar w:fldCharType="begin"/>
            </w:r>
            <w:r>
              <w:rPr>
                <w:webHidden/>
              </w:rPr>
              <w:instrText xml:space="preserve"> PAGEREF _Toc189162622 \h </w:instrText>
            </w:r>
            <w:r>
              <w:rPr>
                <w:webHidden/>
              </w:rPr>
            </w:r>
            <w:r>
              <w:rPr>
                <w:webHidden/>
              </w:rPr>
              <w:fldChar w:fldCharType="separate"/>
            </w:r>
            <w:r>
              <w:rPr>
                <w:webHidden/>
              </w:rPr>
              <w:t>120</w:t>
            </w:r>
            <w:r>
              <w:rPr>
                <w:webHidden/>
              </w:rPr>
              <w:fldChar w:fldCharType="end"/>
            </w:r>
          </w:hyperlink>
        </w:p>
        <w:p w14:paraId="7777878F" w14:textId="4F4A3AE9"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23" w:history="1">
            <w:r w:rsidRPr="00123F7D">
              <w:rPr>
                <w:rStyle w:val="Hyperlink"/>
                <w:b/>
              </w:rPr>
              <w:t>9.2</w:t>
            </w:r>
            <w:r>
              <w:rPr>
                <w:rFonts w:asciiTheme="minorHAnsi" w:eastAsiaTheme="minorEastAsia" w:hAnsiTheme="minorHAnsi" w:cstheme="minorBidi"/>
                <w:bCs w:val="0"/>
                <w:caps w:val="0"/>
                <w:kern w:val="2"/>
                <w:szCs w:val="24"/>
                <w14:ligatures w14:val="standardContextual"/>
              </w:rPr>
              <w:tab/>
            </w:r>
            <w:r w:rsidRPr="00123F7D">
              <w:rPr>
                <w:rStyle w:val="Hyperlink"/>
                <w:b/>
              </w:rPr>
              <w:t>LONG-TERM ENERGY MODEL ECONOMIC ASSUMPTIONS</w:t>
            </w:r>
            <w:r>
              <w:rPr>
                <w:webHidden/>
              </w:rPr>
              <w:tab/>
            </w:r>
            <w:r>
              <w:rPr>
                <w:webHidden/>
              </w:rPr>
              <w:fldChar w:fldCharType="begin"/>
            </w:r>
            <w:r>
              <w:rPr>
                <w:webHidden/>
              </w:rPr>
              <w:instrText xml:space="preserve"> PAGEREF _Toc189162623 \h </w:instrText>
            </w:r>
            <w:r>
              <w:rPr>
                <w:webHidden/>
              </w:rPr>
            </w:r>
            <w:r>
              <w:rPr>
                <w:webHidden/>
              </w:rPr>
              <w:fldChar w:fldCharType="separate"/>
            </w:r>
            <w:r>
              <w:rPr>
                <w:webHidden/>
              </w:rPr>
              <w:t>120</w:t>
            </w:r>
            <w:r>
              <w:rPr>
                <w:webHidden/>
              </w:rPr>
              <w:fldChar w:fldCharType="end"/>
            </w:r>
          </w:hyperlink>
        </w:p>
        <w:p w14:paraId="3F987541" w14:textId="2D5E7272"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24" w:history="1">
            <w:r w:rsidRPr="00123F7D">
              <w:rPr>
                <w:rStyle w:val="Hyperlink"/>
                <w:b/>
              </w:rPr>
              <w:t>9.3</w:t>
            </w:r>
            <w:r>
              <w:rPr>
                <w:rFonts w:asciiTheme="minorHAnsi" w:eastAsiaTheme="minorEastAsia" w:hAnsiTheme="minorHAnsi" w:cstheme="minorBidi"/>
                <w:bCs w:val="0"/>
                <w:caps w:val="0"/>
                <w:kern w:val="2"/>
                <w:szCs w:val="24"/>
                <w14:ligatures w14:val="standardContextual"/>
              </w:rPr>
              <w:tab/>
            </w:r>
            <w:r w:rsidRPr="00123F7D">
              <w:rPr>
                <w:rStyle w:val="Hyperlink"/>
                <w:b/>
              </w:rPr>
              <w:t>FUEL PRICE ASSUMPTIONS</w:t>
            </w:r>
            <w:r>
              <w:rPr>
                <w:webHidden/>
              </w:rPr>
              <w:tab/>
            </w:r>
            <w:r>
              <w:rPr>
                <w:webHidden/>
              </w:rPr>
              <w:fldChar w:fldCharType="begin"/>
            </w:r>
            <w:r>
              <w:rPr>
                <w:webHidden/>
              </w:rPr>
              <w:instrText xml:space="preserve"> PAGEREF _Toc189162624 \h </w:instrText>
            </w:r>
            <w:r>
              <w:rPr>
                <w:webHidden/>
              </w:rPr>
            </w:r>
            <w:r>
              <w:rPr>
                <w:webHidden/>
              </w:rPr>
              <w:fldChar w:fldCharType="separate"/>
            </w:r>
            <w:r>
              <w:rPr>
                <w:webHidden/>
              </w:rPr>
              <w:t>122</w:t>
            </w:r>
            <w:r>
              <w:rPr>
                <w:webHidden/>
              </w:rPr>
              <w:fldChar w:fldCharType="end"/>
            </w:r>
          </w:hyperlink>
        </w:p>
        <w:p w14:paraId="56D725A3" w14:textId="56602AD0"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25" w:history="1">
            <w:r w:rsidRPr="00123F7D">
              <w:rPr>
                <w:rStyle w:val="Hyperlink"/>
                <w:b/>
              </w:rPr>
              <w:t>9.4</w:t>
            </w:r>
            <w:r>
              <w:rPr>
                <w:rFonts w:asciiTheme="minorHAnsi" w:eastAsiaTheme="minorEastAsia" w:hAnsiTheme="minorHAnsi" w:cstheme="minorBidi"/>
                <w:bCs w:val="0"/>
                <w:caps w:val="0"/>
                <w:kern w:val="2"/>
                <w:szCs w:val="24"/>
                <w14:ligatures w14:val="standardContextual"/>
              </w:rPr>
              <w:tab/>
            </w:r>
            <w:r w:rsidRPr="00123F7D">
              <w:rPr>
                <w:rStyle w:val="Hyperlink"/>
                <w:b/>
              </w:rPr>
              <w:t>FORECAST ADJUSTMENTS</w:t>
            </w:r>
            <w:r>
              <w:rPr>
                <w:webHidden/>
              </w:rPr>
              <w:tab/>
            </w:r>
            <w:r>
              <w:rPr>
                <w:webHidden/>
              </w:rPr>
              <w:fldChar w:fldCharType="begin"/>
            </w:r>
            <w:r>
              <w:rPr>
                <w:webHidden/>
              </w:rPr>
              <w:instrText xml:space="preserve"> PAGEREF _Toc189162625 \h </w:instrText>
            </w:r>
            <w:r>
              <w:rPr>
                <w:webHidden/>
              </w:rPr>
            </w:r>
            <w:r>
              <w:rPr>
                <w:webHidden/>
              </w:rPr>
              <w:fldChar w:fldCharType="separate"/>
            </w:r>
            <w:r>
              <w:rPr>
                <w:webHidden/>
              </w:rPr>
              <w:t>124</w:t>
            </w:r>
            <w:r>
              <w:rPr>
                <w:webHidden/>
              </w:rPr>
              <w:fldChar w:fldCharType="end"/>
            </w:r>
          </w:hyperlink>
        </w:p>
        <w:p w14:paraId="16CBD50E" w14:textId="246F335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26" w:history="1">
            <w:r w:rsidRPr="00123F7D">
              <w:rPr>
                <w:rStyle w:val="Hyperlink"/>
                <w:noProof/>
              </w:rPr>
              <w:t>9.4.1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Demand Side Strategies and Customer Actions</w:t>
            </w:r>
            <w:r>
              <w:rPr>
                <w:noProof/>
                <w:webHidden/>
              </w:rPr>
              <w:tab/>
            </w:r>
            <w:r>
              <w:rPr>
                <w:noProof/>
                <w:webHidden/>
              </w:rPr>
              <w:fldChar w:fldCharType="begin"/>
            </w:r>
            <w:r>
              <w:rPr>
                <w:noProof/>
                <w:webHidden/>
              </w:rPr>
              <w:instrText xml:space="preserve"> PAGEREF _Toc189162626 \h </w:instrText>
            </w:r>
            <w:r>
              <w:rPr>
                <w:noProof/>
                <w:webHidden/>
              </w:rPr>
            </w:r>
            <w:r>
              <w:rPr>
                <w:noProof/>
                <w:webHidden/>
              </w:rPr>
              <w:fldChar w:fldCharType="separate"/>
            </w:r>
            <w:r>
              <w:rPr>
                <w:noProof/>
                <w:webHidden/>
              </w:rPr>
              <w:t>124</w:t>
            </w:r>
            <w:r>
              <w:rPr>
                <w:noProof/>
                <w:webHidden/>
              </w:rPr>
              <w:fldChar w:fldCharType="end"/>
            </w:r>
          </w:hyperlink>
        </w:p>
        <w:p w14:paraId="24B930B6" w14:textId="1776A70A"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27" w:history="1">
            <w:r w:rsidRPr="00123F7D">
              <w:rPr>
                <w:rStyle w:val="Hyperlink"/>
                <w:noProof/>
              </w:rPr>
              <w:t>9.4.2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Cogeneration</w:t>
            </w:r>
            <w:r>
              <w:rPr>
                <w:noProof/>
                <w:webHidden/>
              </w:rPr>
              <w:tab/>
            </w:r>
            <w:r>
              <w:rPr>
                <w:noProof/>
                <w:webHidden/>
              </w:rPr>
              <w:fldChar w:fldCharType="begin"/>
            </w:r>
            <w:r>
              <w:rPr>
                <w:noProof/>
                <w:webHidden/>
              </w:rPr>
              <w:instrText xml:space="preserve"> PAGEREF _Toc189162627 \h </w:instrText>
            </w:r>
            <w:r>
              <w:rPr>
                <w:noProof/>
                <w:webHidden/>
              </w:rPr>
            </w:r>
            <w:r>
              <w:rPr>
                <w:noProof/>
                <w:webHidden/>
              </w:rPr>
              <w:fldChar w:fldCharType="separate"/>
            </w:r>
            <w:r>
              <w:rPr>
                <w:noProof/>
                <w:webHidden/>
              </w:rPr>
              <w:t>125</w:t>
            </w:r>
            <w:r>
              <w:rPr>
                <w:noProof/>
                <w:webHidden/>
              </w:rPr>
              <w:fldChar w:fldCharType="end"/>
            </w:r>
          </w:hyperlink>
        </w:p>
        <w:p w14:paraId="6F8E798D" w14:textId="31E2CB6B"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28" w:history="1">
            <w:r w:rsidRPr="00123F7D">
              <w:rPr>
                <w:rStyle w:val="Hyperlink"/>
                <w:noProof/>
              </w:rPr>
              <w:t>9.4.3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Electric Vehicles</w:t>
            </w:r>
            <w:r>
              <w:rPr>
                <w:noProof/>
                <w:webHidden/>
              </w:rPr>
              <w:tab/>
            </w:r>
            <w:r>
              <w:rPr>
                <w:noProof/>
                <w:webHidden/>
              </w:rPr>
              <w:fldChar w:fldCharType="begin"/>
            </w:r>
            <w:r>
              <w:rPr>
                <w:noProof/>
                <w:webHidden/>
              </w:rPr>
              <w:instrText xml:space="preserve"> PAGEREF _Toc189162628 \h </w:instrText>
            </w:r>
            <w:r>
              <w:rPr>
                <w:noProof/>
                <w:webHidden/>
              </w:rPr>
            </w:r>
            <w:r>
              <w:rPr>
                <w:noProof/>
                <w:webHidden/>
              </w:rPr>
              <w:fldChar w:fldCharType="separate"/>
            </w:r>
            <w:r>
              <w:rPr>
                <w:noProof/>
                <w:webHidden/>
              </w:rPr>
              <w:t>125</w:t>
            </w:r>
            <w:r>
              <w:rPr>
                <w:noProof/>
                <w:webHidden/>
              </w:rPr>
              <w:fldChar w:fldCharType="end"/>
            </w:r>
          </w:hyperlink>
        </w:p>
        <w:p w14:paraId="47DA0258" w14:textId="2D60768B"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29" w:history="1">
            <w:r w:rsidRPr="00123F7D">
              <w:rPr>
                <w:rStyle w:val="Hyperlink"/>
                <w:noProof/>
              </w:rPr>
              <w:t>9.4.4</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Behind-The-Meter Solar</w:t>
            </w:r>
            <w:r>
              <w:rPr>
                <w:noProof/>
                <w:webHidden/>
              </w:rPr>
              <w:tab/>
            </w:r>
            <w:r>
              <w:rPr>
                <w:noProof/>
                <w:webHidden/>
              </w:rPr>
              <w:fldChar w:fldCharType="begin"/>
            </w:r>
            <w:r>
              <w:rPr>
                <w:noProof/>
                <w:webHidden/>
              </w:rPr>
              <w:instrText xml:space="preserve"> PAGEREF _Toc189162629 \h </w:instrText>
            </w:r>
            <w:r>
              <w:rPr>
                <w:noProof/>
                <w:webHidden/>
              </w:rPr>
            </w:r>
            <w:r>
              <w:rPr>
                <w:noProof/>
                <w:webHidden/>
              </w:rPr>
              <w:fldChar w:fldCharType="separate"/>
            </w:r>
            <w:r>
              <w:rPr>
                <w:noProof/>
                <w:webHidden/>
              </w:rPr>
              <w:t>125</w:t>
            </w:r>
            <w:r>
              <w:rPr>
                <w:noProof/>
                <w:webHidden/>
              </w:rPr>
              <w:fldChar w:fldCharType="end"/>
            </w:r>
          </w:hyperlink>
        </w:p>
        <w:p w14:paraId="1198C802" w14:textId="3526382A"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0" w:history="1">
            <w:r w:rsidRPr="00123F7D">
              <w:rPr>
                <w:rStyle w:val="Hyperlink"/>
                <w:b/>
              </w:rPr>
              <w:t>9.5</w:t>
            </w:r>
            <w:r>
              <w:rPr>
                <w:rFonts w:asciiTheme="minorHAnsi" w:eastAsiaTheme="minorEastAsia" w:hAnsiTheme="minorHAnsi" w:cstheme="minorBidi"/>
                <w:bCs w:val="0"/>
                <w:caps w:val="0"/>
                <w:kern w:val="2"/>
                <w:szCs w:val="24"/>
                <w14:ligatures w14:val="standardContextual"/>
              </w:rPr>
              <w:tab/>
            </w:r>
            <w:r w:rsidRPr="00123F7D">
              <w:rPr>
                <w:rStyle w:val="Hyperlink"/>
                <w:b/>
              </w:rPr>
              <w:t>IMPACTS OF APPLIANCE EFFICIENCY STANDARDS</w:t>
            </w:r>
            <w:r>
              <w:rPr>
                <w:webHidden/>
              </w:rPr>
              <w:tab/>
            </w:r>
            <w:r>
              <w:rPr>
                <w:webHidden/>
              </w:rPr>
              <w:fldChar w:fldCharType="begin"/>
            </w:r>
            <w:r>
              <w:rPr>
                <w:webHidden/>
              </w:rPr>
              <w:instrText xml:space="preserve"> PAGEREF _Toc189162630 \h </w:instrText>
            </w:r>
            <w:r>
              <w:rPr>
                <w:webHidden/>
              </w:rPr>
            </w:r>
            <w:r>
              <w:rPr>
                <w:webHidden/>
              </w:rPr>
              <w:fldChar w:fldCharType="separate"/>
            </w:r>
            <w:r>
              <w:rPr>
                <w:webHidden/>
              </w:rPr>
              <w:t>128</w:t>
            </w:r>
            <w:r>
              <w:rPr>
                <w:webHidden/>
              </w:rPr>
              <w:fldChar w:fldCharType="end"/>
            </w:r>
          </w:hyperlink>
        </w:p>
        <w:p w14:paraId="2D3DA6A1" w14:textId="1FB9325D"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1" w:history="1">
            <w:r w:rsidRPr="00123F7D">
              <w:rPr>
                <w:rStyle w:val="Hyperlink"/>
                <w:b/>
              </w:rPr>
              <w:t>9.6</w:t>
            </w:r>
            <w:r>
              <w:rPr>
                <w:rFonts w:asciiTheme="minorHAnsi" w:eastAsiaTheme="minorEastAsia" w:hAnsiTheme="minorHAnsi" w:cstheme="minorBidi"/>
                <w:bCs w:val="0"/>
                <w:caps w:val="0"/>
                <w:kern w:val="2"/>
                <w:szCs w:val="24"/>
                <w14:ligatures w14:val="standardContextual"/>
              </w:rPr>
              <w:tab/>
            </w:r>
            <w:r w:rsidRPr="00123F7D">
              <w:rPr>
                <w:rStyle w:val="Hyperlink"/>
                <w:b/>
              </w:rPr>
              <w:t>RESOURCE SIDE DEMAND SIDE OPTIONS</w:t>
            </w:r>
            <w:r>
              <w:rPr>
                <w:webHidden/>
              </w:rPr>
              <w:tab/>
            </w:r>
            <w:r>
              <w:rPr>
                <w:webHidden/>
              </w:rPr>
              <w:fldChar w:fldCharType="begin"/>
            </w:r>
            <w:r>
              <w:rPr>
                <w:webHidden/>
              </w:rPr>
              <w:instrText xml:space="preserve"> PAGEREF _Toc189162631 \h </w:instrText>
            </w:r>
            <w:r>
              <w:rPr>
                <w:webHidden/>
              </w:rPr>
            </w:r>
            <w:r>
              <w:rPr>
                <w:webHidden/>
              </w:rPr>
              <w:fldChar w:fldCharType="separate"/>
            </w:r>
            <w:r>
              <w:rPr>
                <w:webHidden/>
              </w:rPr>
              <w:t>129</w:t>
            </w:r>
            <w:r>
              <w:rPr>
                <w:webHidden/>
              </w:rPr>
              <w:fldChar w:fldCharType="end"/>
            </w:r>
          </w:hyperlink>
        </w:p>
        <w:p w14:paraId="312E4748" w14:textId="1835280A"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2" w:history="1">
            <w:r w:rsidRPr="00123F7D">
              <w:rPr>
                <w:rStyle w:val="Hyperlink"/>
                <w:b/>
              </w:rPr>
              <w:t>10.0</w:t>
            </w:r>
            <w:r>
              <w:rPr>
                <w:rFonts w:asciiTheme="minorHAnsi" w:eastAsiaTheme="minorEastAsia" w:hAnsiTheme="minorHAnsi" w:cstheme="minorBidi"/>
                <w:bCs w:val="0"/>
                <w:caps w:val="0"/>
                <w:kern w:val="2"/>
                <w:szCs w:val="24"/>
                <w14:ligatures w14:val="standardContextual"/>
              </w:rPr>
              <w:tab/>
            </w:r>
            <w:r w:rsidRPr="00123F7D">
              <w:rPr>
                <w:rStyle w:val="Hyperlink"/>
                <w:b/>
              </w:rPr>
              <w:t>FINAL IRP REQUIREMENT OVERVIEW</w:t>
            </w:r>
            <w:r>
              <w:rPr>
                <w:webHidden/>
              </w:rPr>
              <w:tab/>
            </w:r>
            <w:r>
              <w:rPr>
                <w:webHidden/>
              </w:rPr>
              <w:fldChar w:fldCharType="begin"/>
            </w:r>
            <w:r>
              <w:rPr>
                <w:webHidden/>
              </w:rPr>
              <w:instrText xml:space="preserve"> PAGEREF _Toc189162632 \h </w:instrText>
            </w:r>
            <w:r>
              <w:rPr>
                <w:webHidden/>
              </w:rPr>
            </w:r>
            <w:r>
              <w:rPr>
                <w:webHidden/>
              </w:rPr>
              <w:fldChar w:fldCharType="separate"/>
            </w:r>
            <w:r>
              <w:rPr>
                <w:webHidden/>
              </w:rPr>
              <w:t>130</w:t>
            </w:r>
            <w:r>
              <w:rPr>
                <w:webHidden/>
              </w:rPr>
              <w:fldChar w:fldCharType="end"/>
            </w:r>
          </w:hyperlink>
        </w:p>
        <w:p w14:paraId="577151FF" w14:textId="6AB38CDD"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3" w:history="1">
            <w:r w:rsidRPr="00123F7D">
              <w:rPr>
                <w:rStyle w:val="Hyperlink"/>
                <w:b/>
              </w:rPr>
              <w:t>10.1</w:t>
            </w:r>
            <w:r>
              <w:rPr>
                <w:rFonts w:asciiTheme="minorHAnsi" w:eastAsiaTheme="minorEastAsia" w:hAnsiTheme="minorHAnsi" w:cstheme="minorBidi"/>
                <w:bCs w:val="0"/>
                <w:caps w:val="0"/>
                <w:kern w:val="2"/>
                <w:szCs w:val="24"/>
                <w14:ligatures w14:val="standardContextual"/>
              </w:rPr>
              <w:tab/>
            </w:r>
            <w:r w:rsidRPr="00123F7D">
              <w:rPr>
                <w:rStyle w:val="Hyperlink"/>
                <w:b/>
              </w:rPr>
              <w:t>DESCRIPTION OF WEATHER NORMALIZATION</w:t>
            </w:r>
            <w:r>
              <w:rPr>
                <w:webHidden/>
              </w:rPr>
              <w:tab/>
            </w:r>
            <w:r>
              <w:rPr>
                <w:webHidden/>
              </w:rPr>
              <w:fldChar w:fldCharType="begin"/>
            </w:r>
            <w:r>
              <w:rPr>
                <w:webHidden/>
              </w:rPr>
              <w:instrText xml:space="preserve"> PAGEREF _Toc189162633 \h </w:instrText>
            </w:r>
            <w:r>
              <w:rPr>
                <w:webHidden/>
              </w:rPr>
            </w:r>
            <w:r>
              <w:rPr>
                <w:webHidden/>
              </w:rPr>
              <w:fldChar w:fldCharType="separate"/>
            </w:r>
            <w:r>
              <w:rPr>
                <w:webHidden/>
              </w:rPr>
              <w:t>130</w:t>
            </w:r>
            <w:r>
              <w:rPr>
                <w:webHidden/>
              </w:rPr>
              <w:fldChar w:fldCharType="end"/>
            </w:r>
          </w:hyperlink>
        </w:p>
        <w:p w14:paraId="3163905C" w14:textId="5274EBF6"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4" w:history="1">
            <w:r w:rsidRPr="00123F7D">
              <w:rPr>
                <w:rStyle w:val="Hyperlink"/>
                <w:b/>
              </w:rPr>
              <w:t>10.2</w:t>
            </w:r>
            <w:r>
              <w:rPr>
                <w:rFonts w:asciiTheme="minorHAnsi" w:eastAsiaTheme="minorEastAsia" w:hAnsiTheme="minorHAnsi" w:cstheme="minorBidi"/>
                <w:bCs w:val="0"/>
                <w:caps w:val="0"/>
                <w:kern w:val="2"/>
                <w:szCs w:val="24"/>
                <w14:ligatures w14:val="standardContextual"/>
              </w:rPr>
              <w:tab/>
            </w:r>
            <w:r w:rsidRPr="00123F7D">
              <w:rPr>
                <w:rStyle w:val="Hyperlink"/>
                <w:b/>
              </w:rPr>
              <w:t>REVIEW OF ECONOMIC INPUT AND LOAD PROFILES</w:t>
            </w:r>
            <w:r>
              <w:rPr>
                <w:webHidden/>
              </w:rPr>
              <w:tab/>
            </w:r>
            <w:r>
              <w:rPr>
                <w:webHidden/>
              </w:rPr>
              <w:fldChar w:fldCharType="begin"/>
            </w:r>
            <w:r>
              <w:rPr>
                <w:webHidden/>
              </w:rPr>
              <w:instrText xml:space="preserve"> PAGEREF _Toc189162634 \h </w:instrText>
            </w:r>
            <w:r>
              <w:rPr>
                <w:webHidden/>
              </w:rPr>
            </w:r>
            <w:r>
              <w:rPr>
                <w:webHidden/>
              </w:rPr>
              <w:fldChar w:fldCharType="separate"/>
            </w:r>
            <w:r>
              <w:rPr>
                <w:webHidden/>
              </w:rPr>
              <w:t>131</w:t>
            </w:r>
            <w:r>
              <w:rPr>
                <w:webHidden/>
              </w:rPr>
              <w:fldChar w:fldCharType="end"/>
            </w:r>
          </w:hyperlink>
        </w:p>
        <w:p w14:paraId="53A5E267" w14:textId="75356A37"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5" w:history="1">
            <w:r w:rsidRPr="00123F7D">
              <w:rPr>
                <w:rStyle w:val="Hyperlink"/>
                <w:b/>
              </w:rPr>
              <w:t>10.3</w:t>
            </w:r>
            <w:r>
              <w:rPr>
                <w:rFonts w:asciiTheme="minorHAnsi" w:eastAsiaTheme="minorEastAsia" w:hAnsiTheme="minorHAnsi" w:cstheme="minorBidi"/>
                <w:bCs w:val="0"/>
                <w:caps w:val="0"/>
                <w:kern w:val="2"/>
                <w:szCs w:val="24"/>
                <w14:ligatures w14:val="standardContextual"/>
              </w:rPr>
              <w:tab/>
            </w:r>
            <w:r w:rsidRPr="00123F7D">
              <w:rPr>
                <w:rStyle w:val="Hyperlink"/>
                <w:b/>
              </w:rPr>
              <w:t>ACTUAL &amp; EXPECTED INTERRUPTIBLE DEMAND</w:t>
            </w:r>
            <w:r>
              <w:rPr>
                <w:webHidden/>
              </w:rPr>
              <w:tab/>
            </w:r>
            <w:r>
              <w:rPr>
                <w:webHidden/>
              </w:rPr>
              <w:fldChar w:fldCharType="begin"/>
            </w:r>
            <w:r>
              <w:rPr>
                <w:webHidden/>
              </w:rPr>
              <w:instrText xml:space="preserve"> PAGEREF _Toc189162635 \h </w:instrText>
            </w:r>
            <w:r>
              <w:rPr>
                <w:webHidden/>
              </w:rPr>
            </w:r>
            <w:r>
              <w:rPr>
                <w:webHidden/>
              </w:rPr>
              <w:fldChar w:fldCharType="separate"/>
            </w:r>
            <w:r>
              <w:rPr>
                <w:webHidden/>
              </w:rPr>
              <w:t>134</w:t>
            </w:r>
            <w:r>
              <w:rPr>
                <w:webHidden/>
              </w:rPr>
              <w:fldChar w:fldCharType="end"/>
            </w:r>
          </w:hyperlink>
        </w:p>
        <w:p w14:paraId="1DEB601D" w14:textId="0D92EF0F"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6" w:history="1">
            <w:r w:rsidRPr="00123F7D">
              <w:rPr>
                <w:rStyle w:val="Hyperlink"/>
                <w:b/>
              </w:rPr>
              <w:t>10.4</w:t>
            </w:r>
            <w:r>
              <w:rPr>
                <w:rFonts w:asciiTheme="minorHAnsi" w:eastAsiaTheme="minorEastAsia" w:hAnsiTheme="minorHAnsi" w:cstheme="minorBidi"/>
                <w:bCs w:val="0"/>
                <w:caps w:val="0"/>
                <w:kern w:val="2"/>
                <w:szCs w:val="24"/>
                <w14:ligatures w14:val="standardContextual"/>
              </w:rPr>
              <w:tab/>
            </w:r>
            <w:r w:rsidRPr="00123F7D">
              <w:rPr>
                <w:rStyle w:val="Hyperlink"/>
                <w:b/>
              </w:rPr>
              <w:t>EVALUATION OF PREVIOUS FORECASTS</w:t>
            </w:r>
            <w:r>
              <w:rPr>
                <w:webHidden/>
              </w:rPr>
              <w:tab/>
            </w:r>
            <w:r>
              <w:rPr>
                <w:webHidden/>
              </w:rPr>
              <w:fldChar w:fldCharType="begin"/>
            </w:r>
            <w:r>
              <w:rPr>
                <w:webHidden/>
              </w:rPr>
              <w:instrText xml:space="preserve"> PAGEREF _Toc189162636 \h </w:instrText>
            </w:r>
            <w:r>
              <w:rPr>
                <w:webHidden/>
              </w:rPr>
            </w:r>
            <w:r>
              <w:rPr>
                <w:webHidden/>
              </w:rPr>
              <w:fldChar w:fldCharType="separate"/>
            </w:r>
            <w:r>
              <w:rPr>
                <w:webHidden/>
              </w:rPr>
              <w:t>135</w:t>
            </w:r>
            <w:r>
              <w:rPr>
                <w:webHidden/>
              </w:rPr>
              <w:fldChar w:fldCharType="end"/>
            </w:r>
          </w:hyperlink>
        </w:p>
        <w:p w14:paraId="69D2F214" w14:textId="63F9DCAC"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37" w:history="1">
            <w:r w:rsidRPr="00123F7D">
              <w:rPr>
                <w:rStyle w:val="Hyperlink"/>
                <w:noProof/>
              </w:rPr>
              <w:t>10.4.1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General Enhancements</w:t>
            </w:r>
            <w:r>
              <w:rPr>
                <w:noProof/>
                <w:webHidden/>
              </w:rPr>
              <w:tab/>
            </w:r>
            <w:r>
              <w:rPr>
                <w:noProof/>
                <w:webHidden/>
              </w:rPr>
              <w:fldChar w:fldCharType="begin"/>
            </w:r>
            <w:r>
              <w:rPr>
                <w:noProof/>
                <w:webHidden/>
              </w:rPr>
              <w:instrText xml:space="preserve"> PAGEREF _Toc189162637 \h </w:instrText>
            </w:r>
            <w:r>
              <w:rPr>
                <w:noProof/>
                <w:webHidden/>
              </w:rPr>
            </w:r>
            <w:r>
              <w:rPr>
                <w:noProof/>
                <w:webHidden/>
              </w:rPr>
              <w:fldChar w:fldCharType="separate"/>
            </w:r>
            <w:r>
              <w:rPr>
                <w:noProof/>
                <w:webHidden/>
              </w:rPr>
              <w:t>143</w:t>
            </w:r>
            <w:r>
              <w:rPr>
                <w:noProof/>
                <w:webHidden/>
              </w:rPr>
              <w:fldChar w:fldCharType="end"/>
            </w:r>
          </w:hyperlink>
        </w:p>
        <w:p w14:paraId="5C9DD649" w14:textId="71A35A98"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38" w:history="1">
            <w:r w:rsidRPr="00123F7D">
              <w:rPr>
                <w:rStyle w:val="Hyperlink"/>
                <w:noProof/>
              </w:rPr>
              <w:t>10.4.2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Specific Enhancements</w:t>
            </w:r>
            <w:r>
              <w:rPr>
                <w:noProof/>
                <w:webHidden/>
              </w:rPr>
              <w:tab/>
            </w:r>
            <w:r>
              <w:rPr>
                <w:noProof/>
                <w:webHidden/>
              </w:rPr>
              <w:fldChar w:fldCharType="begin"/>
            </w:r>
            <w:r>
              <w:rPr>
                <w:noProof/>
                <w:webHidden/>
              </w:rPr>
              <w:instrText xml:space="preserve"> PAGEREF _Toc189162638 \h </w:instrText>
            </w:r>
            <w:r>
              <w:rPr>
                <w:noProof/>
                <w:webHidden/>
              </w:rPr>
            </w:r>
            <w:r>
              <w:rPr>
                <w:noProof/>
                <w:webHidden/>
              </w:rPr>
              <w:fldChar w:fldCharType="separate"/>
            </w:r>
            <w:r>
              <w:rPr>
                <w:noProof/>
                <w:webHidden/>
              </w:rPr>
              <w:t>143</w:t>
            </w:r>
            <w:r>
              <w:rPr>
                <w:noProof/>
                <w:webHidden/>
              </w:rPr>
              <w:fldChar w:fldCharType="end"/>
            </w:r>
          </w:hyperlink>
        </w:p>
        <w:p w14:paraId="2E329360" w14:textId="5E219138"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39" w:history="1">
            <w:r w:rsidRPr="00123F7D">
              <w:rPr>
                <w:rStyle w:val="Hyperlink"/>
                <w:b/>
              </w:rPr>
              <w:t>10.5</w:t>
            </w:r>
            <w:r>
              <w:rPr>
                <w:rFonts w:asciiTheme="minorHAnsi" w:eastAsiaTheme="minorEastAsia" w:hAnsiTheme="minorHAnsi" w:cstheme="minorBidi"/>
                <w:bCs w:val="0"/>
                <w:caps w:val="0"/>
                <w:kern w:val="2"/>
                <w:szCs w:val="24"/>
                <w14:ligatures w14:val="standardContextual"/>
              </w:rPr>
              <w:tab/>
            </w:r>
            <w:r w:rsidRPr="00123F7D">
              <w:rPr>
                <w:rStyle w:val="Hyperlink"/>
                <w:b/>
              </w:rPr>
              <w:t>ENERGY RESEARCH PLAN</w:t>
            </w:r>
            <w:r>
              <w:rPr>
                <w:webHidden/>
              </w:rPr>
              <w:tab/>
            </w:r>
            <w:r>
              <w:rPr>
                <w:webHidden/>
              </w:rPr>
              <w:fldChar w:fldCharType="begin"/>
            </w:r>
            <w:r>
              <w:rPr>
                <w:webHidden/>
              </w:rPr>
              <w:instrText xml:space="preserve"> PAGEREF _Toc189162639 \h </w:instrText>
            </w:r>
            <w:r>
              <w:rPr>
                <w:webHidden/>
              </w:rPr>
            </w:r>
            <w:r>
              <w:rPr>
                <w:webHidden/>
              </w:rPr>
              <w:fldChar w:fldCharType="separate"/>
            </w:r>
            <w:r>
              <w:rPr>
                <w:webHidden/>
              </w:rPr>
              <w:t>147</w:t>
            </w:r>
            <w:r>
              <w:rPr>
                <w:webHidden/>
              </w:rPr>
              <w:fldChar w:fldCharType="end"/>
            </w:r>
          </w:hyperlink>
        </w:p>
        <w:p w14:paraId="654C9015" w14:textId="5493C02F"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40" w:history="1">
            <w:r w:rsidRPr="00123F7D">
              <w:rPr>
                <w:rStyle w:val="Hyperlink"/>
                <w:noProof/>
              </w:rPr>
              <w:t>10.5.1</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Introduction</w:t>
            </w:r>
            <w:r>
              <w:rPr>
                <w:noProof/>
                <w:webHidden/>
              </w:rPr>
              <w:tab/>
            </w:r>
            <w:r>
              <w:rPr>
                <w:noProof/>
                <w:webHidden/>
              </w:rPr>
              <w:fldChar w:fldCharType="begin"/>
            </w:r>
            <w:r>
              <w:rPr>
                <w:noProof/>
                <w:webHidden/>
              </w:rPr>
              <w:instrText xml:space="preserve"> PAGEREF _Toc189162640 \h </w:instrText>
            </w:r>
            <w:r>
              <w:rPr>
                <w:noProof/>
                <w:webHidden/>
              </w:rPr>
            </w:r>
            <w:r>
              <w:rPr>
                <w:noProof/>
                <w:webHidden/>
              </w:rPr>
              <w:fldChar w:fldCharType="separate"/>
            </w:r>
            <w:r>
              <w:rPr>
                <w:noProof/>
                <w:webHidden/>
              </w:rPr>
              <w:t>147</w:t>
            </w:r>
            <w:r>
              <w:rPr>
                <w:noProof/>
                <w:webHidden/>
              </w:rPr>
              <w:fldChar w:fldCharType="end"/>
            </w:r>
          </w:hyperlink>
        </w:p>
        <w:p w14:paraId="45405709" w14:textId="7158517D"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41" w:history="1">
            <w:r w:rsidRPr="00123F7D">
              <w:rPr>
                <w:rStyle w:val="Hyperlink"/>
                <w:noProof/>
              </w:rPr>
              <w:t>10.5.2</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Survey Research</w:t>
            </w:r>
            <w:r>
              <w:rPr>
                <w:noProof/>
                <w:webHidden/>
              </w:rPr>
              <w:tab/>
            </w:r>
            <w:r>
              <w:rPr>
                <w:noProof/>
                <w:webHidden/>
              </w:rPr>
              <w:fldChar w:fldCharType="begin"/>
            </w:r>
            <w:r>
              <w:rPr>
                <w:noProof/>
                <w:webHidden/>
              </w:rPr>
              <w:instrText xml:space="preserve"> PAGEREF _Toc189162641 \h </w:instrText>
            </w:r>
            <w:r>
              <w:rPr>
                <w:noProof/>
                <w:webHidden/>
              </w:rPr>
            </w:r>
            <w:r>
              <w:rPr>
                <w:noProof/>
                <w:webHidden/>
              </w:rPr>
              <w:fldChar w:fldCharType="separate"/>
            </w:r>
            <w:r>
              <w:rPr>
                <w:noProof/>
                <w:webHidden/>
              </w:rPr>
              <w:t>148</w:t>
            </w:r>
            <w:r>
              <w:rPr>
                <w:noProof/>
                <w:webHidden/>
              </w:rPr>
              <w:fldChar w:fldCharType="end"/>
            </w:r>
          </w:hyperlink>
        </w:p>
        <w:p w14:paraId="5057D334" w14:textId="708EBE75"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42" w:history="1">
            <w:r w:rsidRPr="00123F7D">
              <w:rPr>
                <w:rStyle w:val="Hyperlink"/>
                <w:noProof/>
              </w:rPr>
              <w:t>10.5.3</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Load Research</w:t>
            </w:r>
            <w:r>
              <w:rPr>
                <w:noProof/>
                <w:webHidden/>
              </w:rPr>
              <w:tab/>
            </w:r>
            <w:r>
              <w:rPr>
                <w:noProof/>
                <w:webHidden/>
              </w:rPr>
              <w:fldChar w:fldCharType="begin"/>
            </w:r>
            <w:r>
              <w:rPr>
                <w:noProof/>
                <w:webHidden/>
              </w:rPr>
              <w:instrText xml:space="preserve"> PAGEREF _Toc189162642 \h </w:instrText>
            </w:r>
            <w:r>
              <w:rPr>
                <w:noProof/>
                <w:webHidden/>
              </w:rPr>
            </w:r>
            <w:r>
              <w:rPr>
                <w:noProof/>
                <w:webHidden/>
              </w:rPr>
              <w:fldChar w:fldCharType="separate"/>
            </w:r>
            <w:r>
              <w:rPr>
                <w:noProof/>
                <w:webHidden/>
              </w:rPr>
              <w:t>149</w:t>
            </w:r>
            <w:r>
              <w:rPr>
                <w:noProof/>
                <w:webHidden/>
              </w:rPr>
              <w:fldChar w:fldCharType="end"/>
            </w:r>
          </w:hyperlink>
        </w:p>
        <w:p w14:paraId="544E510C" w14:textId="38A64F72" w:rsidR="009C019A" w:rsidRDefault="009C019A">
          <w:pPr>
            <w:pStyle w:val="TOC2"/>
            <w:tabs>
              <w:tab w:val="left" w:pos="1100"/>
            </w:tabs>
            <w:rPr>
              <w:rFonts w:asciiTheme="minorHAnsi" w:eastAsiaTheme="minorEastAsia" w:hAnsiTheme="minorHAnsi" w:cstheme="minorBidi"/>
              <w:b w:val="0"/>
              <w:noProof/>
              <w:kern w:val="2"/>
              <w:sz w:val="24"/>
              <w:szCs w:val="24"/>
              <w14:ligatures w14:val="standardContextual"/>
            </w:rPr>
          </w:pPr>
          <w:hyperlink w:anchor="_Toc189162643" w:history="1">
            <w:r w:rsidRPr="00123F7D">
              <w:rPr>
                <w:rStyle w:val="Hyperlink"/>
                <w:noProof/>
              </w:rPr>
              <w:t>10.5.4</w:t>
            </w:r>
            <w:r>
              <w:rPr>
                <w:rFonts w:asciiTheme="minorHAnsi" w:eastAsiaTheme="minorEastAsia" w:hAnsiTheme="minorHAnsi" w:cstheme="minorBidi"/>
                <w:b w:val="0"/>
                <w:noProof/>
                <w:kern w:val="2"/>
                <w:sz w:val="24"/>
                <w:szCs w:val="24"/>
                <w14:ligatures w14:val="standardContextual"/>
              </w:rPr>
              <w:tab/>
            </w:r>
            <w:r w:rsidRPr="00123F7D">
              <w:rPr>
                <w:rStyle w:val="Hyperlink"/>
                <w:noProof/>
              </w:rPr>
              <w:t>Analysis</w:t>
            </w:r>
            <w:r>
              <w:rPr>
                <w:noProof/>
                <w:webHidden/>
              </w:rPr>
              <w:tab/>
            </w:r>
            <w:r>
              <w:rPr>
                <w:noProof/>
                <w:webHidden/>
              </w:rPr>
              <w:fldChar w:fldCharType="begin"/>
            </w:r>
            <w:r>
              <w:rPr>
                <w:noProof/>
                <w:webHidden/>
              </w:rPr>
              <w:instrText xml:space="preserve"> PAGEREF _Toc189162643 \h </w:instrText>
            </w:r>
            <w:r>
              <w:rPr>
                <w:noProof/>
                <w:webHidden/>
              </w:rPr>
            </w:r>
            <w:r>
              <w:rPr>
                <w:noProof/>
                <w:webHidden/>
              </w:rPr>
              <w:fldChar w:fldCharType="separate"/>
            </w:r>
            <w:r>
              <w:rPr>
                <w:noProof/>
                <w:webHidden/>
              </w:rPr>
              <w:t>149</w:t>
            </w:r>
            <w:r>
              <w:rPr>
                <w:noProof/>
                <w:webHidden/>
              </w:rPr>
              <w:fldChar w:fldCharType="end"/>
            </w:r>
          </w:hyperlink>
        </w:p>
        <w:p w14:paraId="5B882D6C" w14:textId="4C83ADD5" w:rsidR="009C019A" w:rsidRDefault="009C019A">
          <w:pPr>
            <w:pStyle w:val="TOC1"/>
            <w:rPr>
              <w:rFonts w:asciiTheme="minorHAnsi" w:eastAsiaTheme="minorEastAsia" w:hAnsiTheme="minorHAnsi" w:cstheme="minorBidi"/>
              <w:bCs w:val="0"/>
              <w:caps w:val="0"/>
              <w:kern w:val="2"/>
              <w:szCs w:val="24"/>
              <w14:ligatures w14:val="standardContextual"/>
            </w:rPr>
          </w:pPr>
          <w:hyperlink w:anchor="_Toc189162644" w:history="1">
            <w:r w:rsidRPr="00123F7D">
              <w:rPr>
                <w:rStyle w:val="Hyperlink"/>
                <w:b/>
              </w:rPr>
              <w:t>11.0 ACRONYM &amp; ABBREVIATION GLOSSARY</w:t>
            </w:r>
            <w:r>
              <w:rPr>
                <w:webHidden/>
              </w:rPr>
              <w:tab/>
            </w:r>
            <w:r>
              <w:rPr>
                <w:webHidden/>
              </w:rPr>
              <w:fldChar w:fldCharType="begin"/>
            </w:r>
            <w:r>
              <w:rPr>
                <w:webHidden/>
              </w:rPr>
              <w:instrText xml:space="preserve"> PAGEREF _Toc189162644 \h </w:instrText>
            </w:r>
            <w:r>
              <w:rPr>
                <w:webHidden/>
              </w:rPr>
            </w:r>
            <w:r>
              <w:rPr>
                <w:webHidden/>
              </w:rPr>
              <w:fldChar w:fldCharType="separate"/>
            </w:r>
            <w:r>
              <w:rPr>
                <w:webHidden/>
              </w:rPr>
              <w:t>151</w:t>
            </w:r>
            <w:r>
              <w:rPr>
                <w:webHidden/>
              </w:rPr>
              <w:fldChar w:fldCharType="end"/>
            </w:r>
          </w:hyperlink>
        </w:p>
        <w:p w14:paraId="5A30D237" w14:textId="12436FF0" w:rsidR="00082868" w:rsidRDefault="00082868">
          <w:r>
            <w:rPr>
              <w:bCs/>
              <w:noProof/>
            </w:rPr>
            <w:fldChar w:fldCharType="end"/>
          </w:r>
        </w:p>
      </w:sdtContent>
    </w:sdt>
    <w:p w14:paraId="1DFD7467" w14:textId="77777777" w:rsidR="00A47EB3" w:rsidRDefault="00816787" w:rsidP="00BE43B1">
      <w:pPr>
        <w:spacing w:after="200" w:line="276" w:lineRule="auto"/>
        <w:jc w:val="left"/>
        <w:sectPr w:rsidR="00A47EB3" w:rsidSect="00A47EB3">
          <w:headerReference w:type="default" r:id="rId10"/>
          <w:footerReference w:type="default" r:id="rId11"/>
          <w:pgSz w:w="12240" w:h="15840"/>
          <w:pgMar w:top="1440" w:right="1800" w:bottom="1440" w:left="1267" w:header="720" w:footer="720" w:gutter="0"/>
          <w:pgNumType w:fmt="lowerRoman" w:start="1"/>
          <w:cols w:space="720"/>
        </w:sectPr>
      </w:pPr>
      <w:r>
        <w:br w:type="page"/>
      </w:r>
    </w:p>
    <w:p w14:paraId="1F6766E4" w14:textId="77777777" w:rsidR="00FF6B97" w:rsidRPr="00D5588E" w:rsidRDefault="00FF6B97" w:rsidP="00FF6B97">
      <w:pPr>
        <w:pStyle w:val="Heading1"/>
        <w:jc w:val="left"/>
        <w:rPr>
          <w:rFonts w:ascii="Arial" w:hAnsi="Arial" w:cs="Arial"/>
          <w:b/>
        </w:rPr>
      </w:pPr>
      <w:bookmarkStart w:id="120" w:name="_Toc347120349"/>
      <w:bookmarkStart w:id="121" w:name="_Toc188257114"/>
      <w:bookmarkStart w:id="122" w:name="_Toc188257329"/>
      <w:bookmarkStart w:id="123" w:name="_Toc188257553"/>
      <w:bookmarkStart w:id="124" w:name="_Toc189162562"/>
      <w:r w:rsidRPr="00D5588E">
        <w:rPr>
          <w:rFonts w:ascii="Arial" w:hAnsi="Arial" w:cs="Arial"/>
          <w:b/>
          <w:color w:val="auto"/>
        </w:rPr>
        <w:lastRenderedPageBreak/>
        <w:t>1.0</w:t>
      </w:r>
      <w:r w:rsidRPr="00D5588E">
        <w:rPr>
          <w:rFonts w:ascii="Arial" w:hAnsi="Arial" w:cs="Arial"/>
          <w:b/>
          <w:color w:val="auto"/>
        </w:rPr>
        <w:tab/>
        <w:t>EXECUTIVE SUMMARY OVERVIEW</w:t>
      </w:r>
      <w:bookmarkEnd w:id="120"/>
      <w:bookmarkEnd w:id="121"/>
      <w:bookmarkEnd w:id="122"/>
      <w:bookmarkEnd w:id="123"/>
      <w:bookmarkEnd w:id="124"/>
    </w:p>
    <w:p w14:paraId="5CE2F9A4" w14:textId="77777777" w:rsidR="00FF6B97" w:rsidRDefault="00FF6B97" w:rsidP="00FF6B97">
      <w:pPr>
        <w:pStyle w:val="BodyText"/>
        <w:jc w:val="left"/>
        <w:rPr>
          <w:b w:val="0"/>
        </w:rPr>
      </w:pPr>
    </w:p>
    <w:p w14:paraId="0A8FE6FE" w14:textId="0885B4E3" w:rsidR="00FF6B97" w:rsidRPr="00FF6B97" w:rsidRDefault="00D953FD" w:rsidP="00E437CA">
      <w:pPr>
        <w:pStyle w:val="BodyText"/>
        <w:spacing w:after="0" w:line="360" w:lineRule="auto"/>
        <w:jc w:val="both"/>
        <w:rPr>
          <w:b w:val="0"/>
        </w:rPr>
      </w:pPr>
      <w:r>
        <w:rPr>
          <w:b w:val="0"/>
        </w:rPr>
        <w:t>In support of the 2025 Integrated Resource Plan (“IRP”),</w:t>
      </w:r>
      <w:r w:rsidR="001E71A4">
        <w:rPr>
          <w:b w:val="0"/>
        </w:rPr>
        <w:t xml:space="preserve"> </w:t>
      </w:r>
      <w:r>
        <w:rPr>
          <w:b w:val="0"/>
        </w:rPr>
        <w:t>this document presents</w:t>
      </w:r>
      <w:r w:rsidR="00FF6B97" w:rsidRPr="00FF6B97">
        <w:rPr>
          <w:b w:val="0"/>
        </w:rPr>
        <w:t xml:space="preserve"> the Budget </w:t>
      </w:r>
      <w:r w:rsidR="00C84CCE" w:rsidRPr="00FF6B97">
        <w:rPr>
          <w:b w:val="0"/>
        </w:rPr>
        <w:t>20</w:t>
      </w:r>
      <w:r w:rsidR="00C84CCE">
        <w:rPr>
          <w:b w:val="0"/>
        </w:rPr>
        <w:t>25</w:t>
      </w:r>
      <w:r w:rsidR="00C84CCE" w:rsidRPr="00FF6B97">
        <w:rPr>
          <w:b w:val="0"/>
        </w:rPr>
        <w:t xml:space="preserve"> </w:t>
      </w:r>
      <w:r w:rsidR="00FF6B97" w:rsidRPr="00FF6B97">
        <w:rPr>
          <w:b w:val="0"/>
        </w:rPr>
        <w:t>Load and Energy Forecast</w:t>
      </w:r>
      <w:r w:rsidR="00BC7DFF">
        <w:rPr>
          <w:b w:val="0"/>
        </w:rPr>
        <w:t xml:space="preserve"> (“Budget </w:t>
      </w:r>
      <w:r w:rsidR="00C84CCE">
        <w:rPr>
          <w:b w:val="0"/>
        </w:rPr>
        <w:t>2025</w:t>
      </w:r>
      <w:r w:rsidR="00BC7DFF">
        <w:rPr>
          <w:b w:val="0"/>
        </w:rPr>
        <w:t>”</w:t>
      </w:r>
      <w:r w:rsidR="00E9647D">
        <w:rPr>
          <w:b w:val="0"/>
        </w:rPr>
        <w:t xml:space="preserve"> or “B2025</w:t>
      </w:r>
      <w:r w:rsidR="00BC7DFF">
        <w:rPr>
          <w:b w:val="0"/>
        </w:rPr>
        <w:t>”)</w:t>
      </w:r>
      <w:r w:rsidR="00FF6B97" w:rsidRPr="00FF6B97">
        <w:rPr>
          <w:b w:val="0"/>
        </w:rPr>
        <w:t xml:space="preserve">. </w:t>
      </w:r>
    </w:p>
    <w:p w14:paraId="4D9D4CA7" w14:textId="77777777" w:rsidR="00FF6B97" w:rsidRPr="00FF6B97" w:rsidRDefault="00FF6B97" w:rsidP="004B790A">
      <w:pPr>
        <w:pStyle w:val="BodyText"/>
        <w:spacing w:after="0" w:line="360" w:lineRule="auto"/>
        <w:jc w:val="both"/>
        <w:rPr>
          <w:b w:val="0"/>
        </w:rPr>
      </w:pPr>
      <w:r w:rsidRPr="00FF6B97">
        <w:rPr>
          <w:b w:val="0"/>
        </w:rPr>
        <w:t xml:space="preserve"> </w:t>
      </w:r>
    </w:p>
    <w:p w14:paraId="26928D38" w14:textId="7BEEFA16" w:rsidR="00FF6B97" w:rsidRPr="00FF6B97" w:rsidRDefault="00FF6B97" w:rsidP="004B790A">
      <w:pPr>
        <w:pStyle w:val="BodyText"/>
        <w:spacing w:after="0" w:line="360" w:lineRule="auto"/>
        <w:jc w:val="both"/>
        <w:rPr>
          <w:b w:val="0"/>
        </w:rPr>
      </w:pPr>
      <w:r w:rsidRPr="00FF6B97">
        <w:rPr>
          <w:b w:val="0"/>
        </w:rPr>
        <w:t xml:space="preserve">A twenty-year forecast of energy sales and peak demand was developed to meet the </w:t>
      </w:r>
      <w:r w:rsidR="00BC7DFF">
        <w:rPr>
          <w:b w:val="0"/>
        </w:rPr>
        <w:t>planning needs of Georgia Power</w:t>
      </w:r>
      <w:r w:rsidR="00B6445B">
        <w:rPr>
          <w:b w:val="0"/>
        </w:rPr>
        <w:t xml:space="preserve"> Company (“Georgia Power”</w:t>
      </w:r>
      <w:r w:rsidR="007166D3">
        <w:rPr>
          <w:b w:val="0"/>
        </w:rPr>
        <w:t xml:space="preserve"> or the “Company”</w:t>
      </w:r>
      <w:r w:rsidR="00B6445B">
        <w:rPr>
          <w:b w:val="0"/>
        </w:rPr>
        <w:t>)</w:t>
      </w:r>
      <w:r w:rsidRPr="00FF6B97">
        <w:rPr>
          <w:b w:val="0"/>
        </w:rPr>
        <w:t xml:space="preserve">. Budget </w:t>
      </w:r>
      <w:r w:rsidR="00C84CCE" w:rsidRPr="00FF6B97">
        <w:rPr>
          <w:b w:val="0"/>
        </w:rPr>
        <w:t>20</w:t>
      </w:r>
      <w:r w:rsidR="00C84CCE">
        <w:rPr>
          <w:b w:val="0"/>
        </w:rPr>
        <w:t>25</w:t>
      </w:r>
      <w:r w:rsidR="00C84CCE" w:rsidRPr="00FF6B97">
        <w:rPr>
          <w:b w:val="0"/>
        </w:rPr>
        <w:t xml:space="preserve"> </w:t>
      </w:r>
      <w:r w:rsidRPr="00FF6B97">
        <w:rPr>
          <w:b w:val="0"/>
        </w:rPr>
        <w:t xml:space="preserve">includes the </w:t>
      </w:r>
      <w:r w:rsidR="00860603">
        <w:rPr>
          <w:b w:val="0"/>
        </w:rPr>
        <w:t xml:space="preserve">following </w:t>
      </w:r>
      <w:r w:rsidRPr="00FF6B97">
        <w:rPr>
          <w:b w:val="0"/>
        </w:rPr>
        <w:t>retail classes</w:t>
      </w:r>
      <w:r w:rsidR="00860603">
        <w:rPr>
          <w:b w:val="0"/>
        </w:rPr>
        <w:t xml:space="preserve">: </w:t>
      </w:r>
      <w:r w:rsidRPr="00FF6B97">
        <w:rPr>
          <w:b w:val="0"/>
        </w:rPr>
        <w:t>residential</w:t>
      </w:r>
      <w:r w:rsidR="004F026C">
        <w:rPr>
          <w:b w:val="0"/>
        </w:rPr>
        <w:t>,</w:t>
      </w:r>
      <w:r w:rsidRPr="00FF6B97">
        <w:rPr>
          <w:b w:val="0"/>
        </w:rPr>
        <w:t xml:space="preserve"> commercial</w:t>
      </w:r>
      <w:r w:rsidR="004F026C">
        <w:rPr>
          <w:b w:val="0"/>
        </w:rPr>
        <w:t>,</w:t>
      </w:r>
      <w:r w:rsidRPr="00FF6B97">
        <w:rPr>
          <w:b w:val="0"/>
        </w:rPr>
        <w:t xml:space="preserve"> industrial</w:t>
      </w:r>
      <w:r w:rsidR="004F026C">
        <w:rPr>
          <w:b w:val="0"/>
        </w:rPr>
        <w:t>,</w:t>
      </w:r>
      <w:r w:rsidRPr="00FF6B97">
        <w:rPr>
          <w:b w:val="0"/>
        </w:rPr>
        <w:t xml:space="preserve"> </w:t>
      </w:r>
      <w:r w:rsidR="009D4059">
        <w:rPr>
          <w:b w:val="0"/>
        </w:rPr>
        <w:t>Metropolitan Atlanta Rapid Transit Authority (“</w:t>
      </w:r>
      <w:r w:rsidRPr="00FF6B97">
        <w:rPr>
          <w:b w:val="0"/>
        </w:rPr>
        <w:t>MARTA</w:t>
      </w:r>
      <w:r w:rsidR="009D4059">
        <w:rPr>
          <w:b w:val="0"/>
        </w:rPr>
        <w:t>”)</w:t>
      </w:r>
      <w:r w:rsidR="004F026C">
        <w:rPr>
          <w:b w:val="0"/>
        </w:rPr>
        <w:t>,</w:t>
      </w:r>
      <w:r w:rsidRPr="00FF6B97">
        <w:rPr>
          <w:b w:val="0"/>
        </w:rPr>
        <w:t xml:space="preserve"> and governmental lighting. The baseline forecast was started in the spring of </w:t>
      </w:r>
      <w:r w:rsidR="00C84CCE" w:rsidRPr="00FF6B97">
        <w:rPr>
          <w:b w:val="0"/>
        </w:rPr>
        <w:t>20</w:t>
      </w:r>
      <w:r w:rsidR="00C84CCE">
        <w:rPr>
          <w:b w:val="0"/>
        </w:rPr>
        <w:t>24</w:t>
      </w:r>
      <w:r w:rsidR="00C84CCE" w:rsidRPr="00FF6B97">
        <w:rPr>
          <w:b w:val="0"/>
        </w:rPr>
        <w:t xml:space="preserve"> </w:t>
      </w:r>
      <w:r w:rsidRPr="00FF6B97">
        <w:rPr>
          <w:b w:val="0"/>
        </w:rPr>
        <w:t xml:space="preserve">and completed in the fall of </w:t>
      </w:r>
      <w:r w:rsidR="00C84CCE" w:rsidRPr="00FF6B97">
        <w:rPr>
          <w:b w:val="0"/>
        </w:rPr>
        <w:t>20</w:t>
      </w:r>
      <w:r w:rsidR="00C84CCE">
        <w:rPr>
          <w:b w:val="0"/>
        </w:rPr>
        <w:t>24</w:t>
      </w:r>
      <w:r w:rsidRPr="00FF6B97">
        <w:rPr>
          <w:b w:val="0"/>
        </w:rPr>
        <w:t>.</w:t>
      </w:r>
    </w:p>
    <w:p w14:paraId="5F405C0F" w14:textId="77777777" w:rsidR="00FF6B97" w:rsidRDefault="00FF6B97" w:rsidP="004B790A">
      <w:pPr>
        <w:pStyle w:val="BodyText"/>
        <w:spacing w:after="0" w:line="360" w:lineRule="auto"/>
        <w:jc w:val="both"/>
        <w:rPr>
          <w:b w:val="0"/>
        </w:rPr>
      </w:pPr>
    </w:p>
    <w:p w14:paraId="0C0A2FCB" w14:textId="5D8AF084" w:rsidR="009951F8" w:rsidRDefault="00B620B9" w:rsidP="00E437CA">
      <w:pPr>
        <w:pStyle w:val="BodyText"/>
        <w:spacing w:after="0" w:line="360" w:lineRule="auto"/>
        <w:jc w:val="both"/>
        <w:rPr>
          <w:b w:val="0"/>
          <w:bCs/>
        </w:rPr>
      </w:pPr>
      <w:r w:rsidRPr="004B790A">
        <w:rPr>
          <w:b w:val="0"/>
          <w:bCs/>
        </w:rPr>
        <w:t>Georgia has seen unprecedented growth in economic development activity since Georgia Power’s 2022 Integrated Resource Plan</w:t>
      </w:r>
      <w:r w:rsidR="009951F8">
        <w:rPr>
          <w:b w:val="0"/>
          <w:bCs/>
        </w:rPr>
        <w:t xml:space="preserve"> was filed</w:t>
      </w:r>
      <w:r w:rsidRPr="004B790A">
        <w:rPr>
          <w:b w:val="0"/>
          <w:bCs/>
        </w:rPr>
        <w:t xml:space="preserve">. Numerous new businesses and industries have come to Georgia, including significant new load related to </w:t>
      </w:r>
      <w:r w:rsidR="009951F8">
        <w:rPr>
          <w:b w:val="0"/>
          <w:bCs/>
        </w:rPr>
        <w:t xml:space="preserve">data centers, </w:t>
      </w:r>
      <w:r w:rsidRPr="004B790A">
        <w:rPr>
          <w:b w:val="0"/>
          <w:bCs/>
        </w:rPr>
        <w:t xml:space="preserve">manufacturing, </w:t>
      </w:r>
      <w:r w:rsidR="009951F8">
        <w:rPr>
          <w:b w:val="0"/>
          <w:bCs/>
        </w:rPr>
        <w:t xml:space="preserve">and </w:t>
      </w:r>
      <w:r w:rsidRPr="004B790A">
        <w:rPr>
          <w:b w:val="0"/>
          <w:bCs/>
        </w:rPr>
        <w:t>clean energy technology.</w:t>
      </w:r>
      <w:r w:rsidR="00616255">
        <w:rPr>
          <w:b w:val="0"/>
          <w:bCs/>
        </w:rPr>
        <w:t xml:space="preserve"> </w:t>
      </w:r>
      <w:r w:rsidR="009951F8">
        <w:rPr>
          <w:b w:val="0"/>
          <w:bCs/>
        </w:rPr>
        <w:t>This growth was incorporated into the 2023 IRP Update</w:t>
      </w:r>
      <w:r w:rsidR="0003477C">
        <w:rPr>
          <w:b w:val="0"/>
          <w:bCs/>
        </w:rPr>
        <w:t xml:space="preserve"> Load Forecast (“2023 IRP Update”)</w:t>
      </w:r>
      <w:r w:rsidR="009951F8">
        <w:rPr>
          <w:b w:val="0"/>
          <w:bCs/>
        </w:rPr>
        <w:t>, filed in October 2023.</w:t>
      </w:r>
    </w:p>
    <w:p w14:paraId="301367CA" w14:textId="5BD00B97" w:rsidR="00B620B9" w:rsidRDefault="009951F8" w:rsidP="004B790A">
      <w:pPr>
        <w:pStyle w:val="BodyText"/>
        <w:spacing w:after="0" w:line="360" w:lineRule="auto"/>
        <w:jc w:val="both"/>
        <w:rPr>
          <w:b w:val="0"/>
          <w:bCs/>
        </w:rPr>
      </w:pPr>
      <w:r>
        <w:rPr>
          <w:b w:val="0"/>
          <w:bCs/>
        </w:rPr>
        <w:t xml:space="preserve"> </w:t>
      </w:r>
    </w:p>
    <w:p w14:paraId="619C0D15" w14:textId="6B8D4055" w:rsidR="00D52F46" w:rsidRDefault="00D52F46" w:rsidP="00FF3134">
      <w:pPr>
        <w:pStyle w:val="BodyText"/>
        <w:spacing w:after="0" w:line="360" w:lineRule="auto"/>
        <w:jc w:val="both"/>
        <w:rPr>
          <w:b w:val="0"/>
          <w:bCs/>
        </w:rPr>
      </w:pPr>
      <w:r w:rsidRPr="004B790A">
        <w:rPr>
          <w:b w:val="0"/>
          <w:bCs/>
        </w:rPr>
        <w:t xml:space="preserve">Since the 2023 IRP Update was filed, the growth in </w:t>
      </w:r>
      <w:r w:rsidR="000448DF">
        <w:rPr>
          <w:b w:val="0"/>
          <w:bCs/>
        </w:rPr>
        <w:t>large</w:t>
      </w:r>
      <w:r w:rsidR="000448DF" w:rsidRPr="000448DF">
        <w:rPr>
          <w:b w:val="0"/>
          <w:bCs/>
        </w:rPr>
        <w:t xml:space="preserve"> </w:t>
      </w:r>
      <w:r w:rsidRPr="000448DF">
        <w:rPr>
          <w:b w:val="0"/>
          <w:bCs/>
        </w:rPr>
        <w:t xml:space="preserve">loads has continued </w:t>
      </w:r>
      <w:r w:rsidR="000448DF">
        <w:rPr>
          <w:b w:val="0"/>
          <w:bCs/>
        </w:rPr>
        <w:t>to increase</w:t>
      </w:r>
      <w:r w:rsidRPr="004B790A">
        <w:rPr>
          <w:b w:val="0"/>
          <w:bCs/>
        </w:rPr>
        <w:t>. The latest data supports Georgia Power’s expectation for continued and robust economic growth in the state.</w:t>
      </w:r>
      <w:r w:rsidR="00616255">
        <w:rPr>
          <w:b w:val="0"/>
          <w:bCs/>
        </w:rPr>
        <w:t xml:space="preserve"> </w:t>
      </w:r>
      <w:r w:rsidRPr="004B790A">
        <w:rPr>
          <w:b w:val="0"/>
          <w:bCs/>
        </w:rPr>
        <w:t>Figure 1.0-1 shows how things have changed since the 2023 IRP Update was filed.</w:t>
      </w:r>
      <w:r w:rsidR="004F026C">
        <w:rPr>
          <w:rStyle w:val="FootnoteReference"/>
          <w:b w:val="0"/>
          <w:bCs/>
        </w:rPr>
        <w:footnoteReference w:id="2"/>
      </w:r>
      <w:r w:rsidR="00616255">
        <w:rPr>
          <w:b w:val="0"/>
          <w:bCs/>
        </w:rPr>
        <w:t xml:space="preserve"> </w:t>
      </w:r>
    </w:p>
    <w:p w14:paraId="156816A5" w14:textId="77777777" w:rsidR="00992EB0" w:rsidRDefault="00992EB0" w:rsidP="00FF3134">
      <w:pPr>
        <w:pStyle w:val="BodyText"/>
        <w:spacing w:after="0" w:line="360" w:lineRule="auto"/>
        <w:jc w:val="both"/>
        <w:rPr>
          <w:b w:val="0"/>
          <w:bCs/>
        </w:rPr>
      </w:pPr>
    </w:p>
    <w:p w14:paraId="6138D9A8" w14:textId="292BF908" w:rsidR="000448DF" w:rsidRDefault="00992EB0" w:rsidP="00FF3134">
      <w:pPr>
        <w:pStyle w:val="BodyText"/>
        <w:spacing w:after="0" w:line="360" w:lineRule="auto"/>
        <w:jc w:val="both"/>
        <w:rPr>
          <w:b w:val="0"/>
          <w:bCs/>
        </w:rPr>
      </w:pPr>
      <w:r w:rsidRPr="005A564E">
        <w:rPr>
          <w:b w:val="0"/>
          <w:bCs/>
        </w:rPr>
        <w:t>Since October</w:t>
      </w:r>
      <w:r>
        <w:rPr>
          <w:b w:val="0"/>
          <w:bCs/>
        </w:rPr>
        <w:t xml:space="preserve"> 2023</w:t>
      </w:r>
      <w:r w:rsidRPr="005A564E">
        <w:rPr>
          <w:b w:val="0"/>
          <w:bCs/>
        </w:rPr>
        <w:t>, the total pipeline of economic development projects through the mid-2030s has increased by 7,300 MW, from 17,000 MW to 24,300 MW. Of this increase, 6,800 MW represents large load economic development projects</w:t>
      </w:r>
      <w:r w:rsidR="00616255">
        <w:rPr>
          <w:b w:val="0"/>
          <w:bCs/>
        </w:rPr>
        <w:t>.</w:t>
      </w:r>
      <w:r w:rsidRPr="005A564E">
        <w:rPr>
          <w:rStyle w:val="FootnoteReference"/>
          <w:b w:val="0"/>
          <w:bCs/>
        </w:rPr>
        <w:footnoteReference w:id="3"/>
      </w:r>
      <w:r w:rsidRPr="005A564E">
        <w:rPr>
          <w:b w:val="0"/>
          <w:bCs/>
        </w:rPr>
        <w:t xml:space="preserve"> In addition, the size of the portfolio of large load customers that have committed to</w:t>
      </w:r>
      <w:r w:rsidR="00EF75A1">
        <w:rPr>
          <w:b w:val="0"/>
          <w:bCs/>
        </w:rPr>
        <w:t xml:space="preserve"> receive</w:t>
      </w:r>
      <w:r w:rsidRPr="005A564E">
        <w:rPr>
          <w:b w:val="0"/>
          <w:bCs/>
        </w:rPr>
        <w:t xml:space="preserve"> service from Georgia Power has more than doubled from 3,600 MW to 7,300 MW, representing 24 committed large load projects.</w:t>
      </w:r>
      <w:r w:rsidR="00EF75A1">
        <w:rPr>
          <w:rStyle w:val="FootnoteReference"/>
          <w:b w:val="0"/>
          <w:bCs/>
        </w:rPr>
        <w:footnoteReference w:id="4"/>
      </w:r>
      <w:r w:rsidRPr="005A564E">
        <w:rPr>
          <w:b w:val="0"/>
          <w:bCs/>
        </w:rPr>
        <w:t xml:space="preserve"> Of these 24 projects, </w:t>
      </w:r>
      <w:r w:rsidR="004F026C">
        <w:rPr>
          <w:b w:val="0"/>
          <w:bCs/>
        </w:rPr>
        <w:t>14</w:t>
      </w:r>
      <w:r w:rsidR="004F026C" w:rsidRPr="005A564E">
        <w:rPr>
          <w:b w:val="0"/>
          <w:bCs/>
        </w:rPr>
        <w:t xml:space="preserve"> </w:t>
      </w:r>
      <w:r w:rsidRPr="005A564E">
        <w:rPr>
          <w:b w:val="0"/>
          <w:bCs/>
        </w:rPr>
        <w:t xml:space="preserve">have broken ground and </w:t>
      </w:r>
      <w:r w:rsidR="004F026C">
        <w:rPr>
          <w:b w:val="0"/>
          <w:bCs/>
        </w:rPr>
        <w:t xml:space="preserve">10 </w:t>
      </w:r>
      <w:r w:rsidRPr="005A564E">
        <w:rPr>
          <w:b w:val="0"/>
          <w:bCs/>
        </w:rPr>
        <w:t>are pending construction. This evidence indicates that these large load customers are materializing and making progress without material delays.</w:t>
      </w:r>
    </w:p>
    <w:p w14:paraId="3B3D39D7" w14:textId="4D90BBDA" w:rsidR="000448DF" w:rsidRPr="003A6F8A" w:rsidRDefault="000448DF" w:rsidP="001F50B2">
      <w:pPr>
        <w:pStyle w:val="BodyText"/>
        <w:keepNext/>
        <w:spacing w:after="0" w:line="360" w:lineRule="auto"/>
        <w:jc w:val="both"/>
      </w:pPr>
      <w:r w:rsidRPr="003A6F8A">
        <w:lastRenderedPageBreak/>
        <w:t>Figure 1.0-1: Announced Loads Considering Georgia and Georgia Power</w:t>
      </w:r>
      <w:r w:rsidR="004F026C">
        <w:t xml:space="preserve"> Through the Mid-2030s</w:t>
      </w:r>
    </w:p>
    <w:p w14:paraId="70A781A4" w14:textId="4AA0B574" w:rsidR="00B01DE5" w:rsidRDefault="00B01DE5" w:rsidP="00992EB0">
      <w:pPr>
        <w:pStyle w:val="BodyText"/>
        <w:keepNext/>
        <w:spacing w:after="0" w:line="360" w:lineRule="auto"/>
        <w:jc w:val="left"/>
        <w:rPr>
          <w:b w:val="0"/>
          <w:bCs/>
        </w:rPr>
      </w:pPr>
    </w:p>
    <w:p w14:paraId="3B127D72" w14:textId="25C9DE33" w:rsidR="000448DF" w:rsidRDefault="001F50B2" w:rsidP="00FF3134">
      <w:pPr>
        <w:pStyle w:val="BodyText"/>
        <w:spacing w:after="0" w:line="360" w:lineRule="auto"/>
        <w:jc w:val="both"/>
        <w:rPr>
          <w:b w:val="0"/>
          <w:bCs/>
        </w:rPr>
      </w:pPr>
      <w:r>
        <w:rPr>
          <w:noProof/>
        </w:rPr>
        <w:drawing>
          <wp:inline distT="0" distB="0" distL="0" distR="0" wp14:anchorId="4C5E16BB" wp14:editId="26451B90">
            <wp:extent cx="5824855" cy="3443883"/>
            <wp:effectExtent l="0" t="0" r="4445" b="4445"/>
            <wp:docPr id="31466290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24855" cy="3443883"/>
                    </a:xfrm>
                    <a:prstGeom prst="rect">
                      <a:avLst/>
                    </a:prstGeom>
                  </pic:spPr>
                </pic:pic>
              </a:graphicData>
            </a:graphic>
          </wp:inline>
        </w:drawing>
      </w:r>
    </w:p>
    <w:p w14:paraId="7C2141CC" w14:textId="77777777" w:rsidR="001F50B2" w:rsidRDefault="001F50B2" w:rsidP="00FF3134">
      <w:pPr>
        <w:pStyle w:val="BodyText"/>
        <w:spacing w:after="0" w:line="360" w:lineRule="auto"/>
        <w:jc w:val="both"/>
      </w:pPr>
    </w:p>
    <w:p w14:paraId="262CC5D7" w14:textId="348D2812" w:rsidR="00FF6B97" w:rsidRPr="007D1AEC" w:rsidRDefault="00D52F46" w:rsidP="00D52F46">
      <w:pPr>
        <w:pStyle w:val="BodyText"/>
        <w:spacing w:after="0" w:line="360" w:lineRule="auto"/>
        <w:jc w:val="both"/>
        <w:rPr>
          <w:b w:val="0"/>
        </w:rPr>
      </w:pPr>
      <w:r>
        <w:rPr>
          <w:b w:val="0"/>
          <w:bCs/>
        </w:rPr>
        <w:t xml:space="preserve">Budget 2025 projects continued extraordinary customer load growth stemming from the rapid economic development taking place in Georgia. The projected demand in Budget 2025 exceeds the demand projected in both the 2023 IRP Update and the 2022 IRP. </w:t>
      </w:r>
      <w:r w:rsidR="00FF6B97" w:rsidRPr="007D1AEC">
        <w:rPr>
          <w:b w:val="0"/>
        </w:rPr>
        <w:t xml:space="preserve">A more detailed discussion of customer class energy sales and </w:t>
      </w:r>
      <w:r w:rsidR="004308A4">
        <w:rPr>
          <w:b w:val="0"/>
        </w:rPr>
        <w:t xml:space="preserve">peak demand </w:t>
      </w:r>
      <w:r w:rsidR="00FF6B97" w:rsidRPr="007D1AEC">
        <w:rPr>
          <w:b w:val="0"/>
        </w:rPr>
        <w:t xml:space="preserve">forecast results is presented below. </w:t>
      </w:r>
    </w:p>
    <w:p w14:paraId="28050542" w14:textId="01A61F36" w:rsidR="00FF6B97" w:rsidRPr="00B02E86" w:rsidRDefault="00FF6B97" w:rsidP="00FF6B97">
      <w:pPr>
        <w:pStyle w:val="Heading1"/>
        <w:jc w:val="left"/>
        <w:rPr>
          <w:rFonts w:ascii="Arial" w:hAnsi="Arial" w:cs="Arial"/>
          <w:b/>
          <w:color w:val="auto"/>
        </w:rPr>
      </w:pPr>
      <w:bookmarkStart w:id="125" w:name="_Toc497031855"/>
      <w:bookmarkStart w:id="126" w:name="_Toc499102652"/>
      <w:bookmarkStart w:id="127" w:name="_Toc503665675"/>
      <w:bookmarkStart w:id="128" w:name="_Toc111952977"/>
      <w:bookmarkStart w:id="129" w:name="_Toc347120350"/>
      <w:bookmarkStart w:id="130" w:name="_Toc188257115"/>
      <w:bookmarkStart w:id="131" w:name="_Toc188257330"/>
      <w:bookmarkStart w:id="132" w:name="_Toc188257554"/>
      <w:bookmarkStart w:id="133" w:name="_Toc189162563"/>
      <w:r w:rsidRPr="00B02E86">
        <w:rPr>
          <w:rFonts w:ascii="Arial" w:hAnsi="Arial" w:cs="Arial"/>
          <w:b/>
          <w:color w:val="auto"/>
        </w:rPr>
        <w:t>1.1</w:t>
      </w:r>
      <w:r w:rsidRPr="00B02E86">
        <w:rPr>
          <w:rFonts w:ascii="Arial" w:hAnsi="Arial" w:cs="Arial"/>
          <w:b/>
          <w:color w:val="auto"/>
        </w:rPr>
        <w:tab/>
      </w:r>
      <w:r w:rsidR="002F10FE">
        <w:rPr>
          <w:rFonts w:ascii="Arial" w:hAnsi="Arial" w:cs="Arial"/>
          <w:b/>
          <w:color w:val="auto"/>
        </w:rPr>
        <w:t xml:space="preserve">SUMMER AND WINTER </w:t>
      </w:r>
      <w:r w:rsidRPr="00B02E86">
        <w:rPr>
          <w:rFonts w:ascii="Arial" w:hAnsi="Arial" w:cs="Arial"/>
          <w:b/>
          <w:color w:val="auto"/>
        </w:rPr>
        <w:t>PEAK DEMAND</w:t>
      </w:r>
      <w:bookmarkEnd w:id="125"/>
      <w:bookmarkEnd w:id="126"/>
      <w:bookmarkEnd w:id="127"/>
      <w:bookmarkEnd w:id="128"/>
      <w:bookmarkEnd w:id="129"/>
      <w:bookmarkEnd w:id="130"/>
      <w:bookmarkEnd w:id="131"/>
      <w:bookmarkEnd w:id="132"/>
      <w:bookmarkEnd w:id="133"/>
    </w:p>
    <w:p w14:paraId="63A77E41" w14:textId="77777777" w:rsidR="00FF6B97" w:rsidRDefault="00FF6B97" w:rsidP="00FF6B97">
      <w:pPr>
        <w:pStyle w:val="BodyText"/>
        <w:jc w:val="left"/>
        <w:rPr>
          <w:b w:val="0"/>
        </w:rPr>
      </w:pPr>
    </w:p>
    <w:p w14:paraId="6B0F581C" w14:textId="6C982FDD" w:rsidR="006C603A" w:rsidRDefault="000345A4" w:rsidP="006C603A">
      <w:pPr>
        <w:pStyle w:val="BodyText"/>
        <w:spacing w:after="0" w:line="360" w:lineRule="auto"/>
        <w:jc w:val="both"/>
        <w:rPr>
          <w:b w:val="0"/>
        </w:rPr>
      </w:pPr>
      <w:r>
        <w:rPr>
          <w:b w:val="0"/>
        </w:rPr>
        <w:t xml:space="preserve">Each year, </w:t>
      </w:r>
      <w:r w:rsidR="00C15555">
        <w:rPr>
          <w:b w:val="0"/>
        </w:rPr>
        <w:t xml:space="preserve">Georgia Power </w:t>
      </w:r>
      <w:r w:rsidR="0053110D">
        <w:rPr>
          <w:b w:val="0"/>
        </w:rPr>
        <w:t xml:space="preserve">produces </w:t>
      </w:r>
      <w:r w:rsidR="00104030">
        <w:rPr>
          <w:b w:val="0"/>
        </w:rPr>
        <w:t xml:space="preserve">a </w:t>
      </w:r>
      <w:r>
        <w:rPr>
          <w:b w:val="0"/>
        </w:rPr>
        <w:t xml:space="preserve">20-year </w:t>
      </w:r>
      <w:r w:rsidR="00104030">
        <w:rPr>
          <w:b w:val="0"/>
        </w:rPr>
        <w:t xml:space="preserve">forecast of </w:t>
      </w:r>
      <w:r w:rsidR="00C15555">
        <w:rPr>
          <w:b w:val="0"/>
        </w:rPr>
        <w:t>both summer and winter peak</w:t>
      </w:r>
      <w:r w:rsidR="00104030">
        <w:rPr>
          <w:b w:val="0"/>
        </w:rPr>
        <w:t xml:space="preserve"> demand</w:t>
      </w:r>
      <w:r w:rsidR="00A80FBB">
        <w:rPr>
          <w:b w:val="0"/>
        </w:rPr>
        <w:t>s</w:t>
      </w:r>
      <w:r w:rsidR="00B600E3">
        <w:rPr>
          <w:b w:val="0"/>
        </w:rPr>
        <w:t>.</w:t>
      </w:r>
      <w:r w:rsidR="00CD3F92">
        <w:rPr>
          <w:b w:val="0"/>
        </w:rPr>
        <w:t xml:space="preserve"> The Company’s </w:t>
      </w:r>
      <w:r w:rsidR="004E287E">
        <w:rPr>
          <w:b w:val="0"/>
        </w:rPr>
        <w:t>all-time</w:t>
      </w:r>
      <w:r w:rsidR="00CD3F92">
        <w:rPr>
          <w:b w:val="0"/>
        </w:rPr>
        <w:t xml:space="preserve"> peak demand </w:t>
      </w:r>
      <w:r w:rsidR="00FF6B97" w:rsidRPr="00FF6B97">
        <w:rPr>
          <w:b w:val="0"/>
        </w:rPr>
        <w:t xml:space="preserve">of </w:t>
      </w:r>
      <w:r w:rsidR="00FF6B97" w:rsidRPr="00F567E5">
        <w:rPr>
          <w:b w:val="0"/>
        </w:rPr>
        <w:t>17,98</w:t>
      </w:r>
      <w:r w:rsidR="007574EE" w:rsidRPr="00F567E5">
        <w:rPr>
          <w:b w:val="0"/>
        </w:rPr>
        <w:t>5</w:t>
      </w:r>
      <w:r w:rsidR="00FF6B97" w:rsidRPr="00FF6B97">
        <w:rPr>
          <w:b w:val="0"/>
        </w:rPr>
        <w:t xml:space="preserve"> MW </w:t>
      </w:r>
      <w:r w:rsidR="006D7552">
        <w:rPr>
          <w:b w:val="0"/>
        </w:rPr>
        <w:t>occurred</w:t>
      </w:r>
      <w:r w:rsidR="00FF6B97" w:rsidRPr="00FF6B97">
        <w:rPr>
          <w:b w:val="0"/>
        </w:rPr>
        <w:t xml:space="preserve"> on August 9, 2007</w:t>
      </w:r>
      <w:r w:rsidR="00CD3F92">
        <w:rPr>
          <w:b w:val="0"/>
        </w:rPr>
        <w:t xml:space="preserve">. </w:t>
      </w:r>
      <w:r w:rsidR="0022753E">
        <w:rPr>
          <w:b w:val="0"/>
        </w:rPr>
        <w:t>Since then,</w:t>
      </w:r>
      <w:r w:rsidR="00DC378F">
        <w:rPr>
          <w:b w:val="0"/>
        </w:rPr>
        <w:t xml:space="preserve"> Georgia Power’s </w:t>
      </w:r>
      <w:r w:rsidR="00014AC4">
        <w:rPr>
          <w:b w:val="0"/>
        </w:rPr>
        <w:t xml:space="preserve">total </w:t>
      </w:r>
      <w:r w:rsidR="00DC378F">
        <w:rPr>
          <w:b w:val="0"/>
        </w:rPr>
        <w:t>peak demand has not surpassed this level.</w:t>
      </w:r>
      <w:r w:rsidR="00B600E3">
        <w:rPr>
          <w:b w:val="0"/>
        </w:rPr>
        <w:t xml:space="preserve"> </w:t>
      </w:r>
      <w:r w:rsidR="006C603A">
        <w:rPr>
          <w:b w:val="0"/>
        </w:rPr>
        <w:t xml:space="preserve">Georgia Power’s highest winter peak demand of 16,458 MW occurred on January 17, 2024. </w:t>
      </w:r>
    </w:p>
    <w:p w14:paraId="07D17E24" w14:textId="4C65DC9F" w:rsidR="00CD3F92" w:rsidRDefault="00DC378F" w:rsidP="006C603A">
      <w:pPr>
        <w:pStyle w:val="BodyText"/>
        <w:spacing w:after="0" w:line="360" w:lineRule="auto"/>
        <w:jc w:val="both"/>
        <w:rPr>
          <w:b w:val="0"/>
        </w:rPr>
      </w:pPr>
      <w:r>
        <w:rPr>
          <w:b w:val="0"/>
        </w:rPr>
        <w:t xml:space="preserve"> </w:t>
      </w:r>
    </w:p>
    <w:p w14:paraId="481A438D" w14:textId="6E332D1F" w:rsidR="00CA6DD3" w:rsidRDefault="005F0818" w:rsidP="006C603A">
      <w:pPr>
        <w:pStyle w:val="BodyText"/>
        <w:spacing w:after="0" w:line="360" w:lineRule="auto"/>
        <w:jc w:val="both"/>
        <w:rPr>
          <w:b w:val="0"/>
        </w:rPr>
      </w:pPr>
      <w:r>
        <w:rPr>
          <w:b w:val="0"/>
        </w:rPr>
        <w:t xml:space="preserve">The summer and winter peak demand forecasts are based on normal weather. Both forecasts include </w:t>
      </w:r>
      <w:r w:rsidR="00890ACC">
        <w:rPr>
          <w:b w:val="0"/>
        </w:rPr>
        <w:t xml:space="preserve">the impacts of </w:t>
      </w:r>
      <w:r>
        <w:rPr>
          <w:b w:val="0"/>
        </w:rPr>
        <w:t xml:space="preserve">electric vehicles and behind-the-meter solar. In addition, </w:t>
      </w:r>
      <w:r w:rsidR="006D7552">
        <w:rPr>
          <w:b w:val="0"/>
        </w:rPr>
        <w:t xml:space="preserve">external adjustments have been made </w:t>
      </w:r>
      <w:r>
        <w:rPr>
          <w:b w:val="0"/>
        </w:rPr>
        <w:t xml:space="preserve">to reflect </w:t>
      </w:r>
      <w:r w:rsidR="006D7552">
        <w:rPr>
          <w:b w:val="0"/>
        </w:rPr>
        <w:t xml:space="preserve">the impacts of </w:t>
      </w:r>
      <w:r w:rsidR="00663B78">
        <w:rPr>
          <w:b w:val="0"/>
        </w:rPr>
        <w:t xml:space="preserve">new large load customers, </w:t>
      </w:r>
      <w:r w:rsidRPr="00B02E86">
        <w:rPr>
          <w:b w:val="0"/>
        </w:rPr>
        <w:t>cogeneration</w:t>
      </w:r>
      <w:r w:rsidR="0076507E">
        <w:rPr>
          <w:b w:val="0"/>
        </w:rPr>
        <w:t>,</w:t>
      </w:r>
      <w:r w:rsidRPr="00B02E86">
        <w:rPr>
          <w:b w:val="0"/>
        </w:rPr>
        <w:t xml:space="preserve"> and </w:t>
      </w:r>
      <w:r w:rsidR="00663B78">
        <w:rPr>
          <w:b w:val="0"/>
        </w:rPr>
        <w:t xml:space="preserve">the </w:t>
      </w:r>
      <w:r>
        <w:rPr>
          <w:b w:val="0"/>
        </w:rPr>
        <w:t xml:space="preserve">impacts of </w:t>
      </w:r>
      <w:r w:rsidR="00890FB2">
        <w:rPr>
          <w:b w:val="0"/>
        </w:rPr>
        <w:t>C</w:t>
      </w:r>
      <w:r w:rsidR="00E5385E">
        <w:rPr>
          <w:b w:val="0"/>
        </w:rPr>
        <w:t>ompany-sponsored Demand Side Management (“</w:t>
      </w:r>
      <w:r w:rsidRPr="00B02E86">
        <w:rPr>
          <w:b w:val="0"/>
        </w:rPr>
        <w:t>D</w:t>
      </w:r>
      <w:r>
        <w:rPr>
          <w:b w:val="0"/>
        </w:rPr>
        <w:t>SM</w:t>
      </w:r>
      <w:r w:rsidR="00E5385E">
        <w:rPr>
          <w:b w:val="0"/>
        </w:rPr>
        <w:t>”)</w:t>
      </w:r>
      <w:r>
        <w:rPr>
          <w:b w:val="0"/>
        </w:rPr>
        <w:t xml:space="preserve"> p</w:t>
      </w:r>
      <w:r w:rsidRPr="00B02E86">
        <w:rPr>
          <w:b w:val="0"/>
        </w:rPr>
        <w:t>rogram</w:t>
      </w:r>
      <w:r>
        <w:rPr>
          <w:b w:val="0"/>
        </w:rPr>
        <w:t>s</w:t>
      </w:r>
      <w:r w:rsidRPr="00B02E86">
        <w:rPr>
          <w:b w:val="0"/>
        </w:rPr>
        <w:t>.</w:t>
      </w:r>
      <w:r>
        <w:rPr>
          <w:b w:val="0"/>
        </w:rPr>
        <w:t xml:space="preserve"> </w:t>
      </w:r>
    </w:p>
    <w:p w14:paraId="74D185C3" w14:textId="77777777" w:rsidR="00E61C0C" w:rsidRDefault="00E61C0C" w:rsidP="006C603A">
      <w:pPr>
        <w:pStyle w:val="BodyText"/>
        <w:spacing w:after="0" w:line="360" w:lineRule="auto"/>
        <w:jc w:val="both"/>
        <w:rPr>
          <w:b w:val="0"/>
        </w:rPr>
      </w:pPr>
    </w:p>
    <w:p w14:paraId="2E7C3745" w14:textId="7102D8A0" w:rsidR="001848E2" w:rsidRDefault="001848E2" w:rsidP="00924150">
      <w:pPr>
        <w:pStyle w:val="BodyText"/>
        <w:spacing w:after="0" w:line="360" w:lineRule="auto"/>
        <w:jc w:val="both"/>
        <w:rPr>
          <w:b w:val="0"/>
          <w:bCs/>
        </w:rPr>
      </w:pPr>
      <w:r w:rsidRPr="006C603A">
        <w:rPr>
          <w:b w:val="0"/>
          <w:bCs/>
        </w:rPr>
        <w:lastRenderedPageBreak/>
        <w:t>With the introduction of new</w:t>
      </w:r>
      <w:r w:rsidR="004308A4">
        <w:rPr>
          <w:b w:val="0"/>
          <w:bCs/>
        </w:rPr>
        <w:t xml:space="preserve"> large </w:t>
      </w:r>
      <w:r w:rsidRPr="006C603A">
        <w:rPr>
          <w:b w:val="0"/>
          <w:bCs/>
        </w:rPr>
        <w:t>load</w:t>
      </w:r>
      <w:r w:rsidR="004308A4">
        <w:rPr>
          <w:b w:val="0"/>
          <w:bCs/>
        </w:rPr>
        <w:t>s</w:t>
      </w:r>
      <w:r w:rsidRPr="006C603A">
        <w:rPr>
          <w:b w:val="0"/>
          <w:bCs/>
        </w:rPr>
        <w:t xml:space="preserve"> due to the extraordinary economic development taking place in Georgia, the Company </w:t>
      </w:r>
      <w:r>
        <w:rPr>
          <w:b w:val="0"/>
          <w:bCs/>
        </w:rPr>
        <w:t>develop</w:t>
      </w:r>
      <w:r w:rsidRPr="006C603A">
        <w:rPr>
          <w:b w:val="0"/>
          <w:bCs/>
        </w:rPr>
        <w:t>ed a new forecasting methodology</w:t>
      </w:r>
      <w:r>
        <w:rPr>
          <w:b w:val="0"/>
          <w:bCs/>
        </w:rPr>
        <w:t xml:space="preserve">, first used in the 2023 IRP Update, </w:t>
      </w:r>
      <w:r w:rsidRPr="006C603A">
        <w:rPr>
          <w:b w:val="0"/>
          <w:bCs/>
        </w:rPr>
        <w:t xml:space="preserve">to reflect the unique characteristics of the new loads and incorporate those characteristics, as appropriate, in the form of an additional external adjustment to its </w:t>
      </w:r>
      <w:r w:rsidR="006C603A">
        <w:rPr>
          <w:b w:val="0"/>
          <w:bCs/>
        </w:rPr>
        <w:t xml:space="preserve">organic </w:t>
      </w:r>
      <w:r w:rsidRPr="006C603A">
        <w:rPr>
          <w:b w:val="0"/>
          <w:bCs/>
        </w:rPr>
        <w:t xml:space="preserve">load forecast. </w:t>
      </w:r>
      <w:r w:rsidR="006C603A" w:rsidRPr="00566A0F">
        <w:rPr>
          <w:b w:val="0"/>
          <w:bCs/>
        </w:rPr>
        <w:t>It is important to note that the organic portion of the forecast</w:t>
      </w:r>
      <w:r w:rsidR="00355FEC">
        <w:rPr>
          <w:b w:val="0"/>
          <w:bCs/>
        </w:rPr>
        <w:t>, which is</w:t>
      </w:r>
      <w:r w:rsidR="006C603A" w:rsidRPr="00566A0F">
        <w:rPr>
          <w:b w:val="0"/>
          <w:bCs/>
        </w:rPr>
        <w:t xml:space="preserve"> brought by traditional lines of business</w:t>
      </w:r>
      <w:r w:rsidR="00355FEC">
        <w:rPr>
          <w:b w:val="0"/>
          <w:bCs/>
        </w:rPr>
        <w:t>,</w:t>
      </w:r>
      <w:r w:rsidR="006C603A" w:rsidRPr="00566A0F">
        <w:rPr>
          <w:b w:val="0"/>
          <w:bCs/>
        </w:rPr>
        <w:t xml:space="preserve"> continues to be developed using econometric </w:t>
      </w:r>
      <w:r w:rsidR="001A0C45">
        <w:rPr>
          <w:b w:val="0"/>
          <w:bCs/>
        </w:rPr>
        <w:t xml:space="preserve">and end-use </w:t>
      </w:r>
      <w:r w:rsidR="006C603A" w:rsidRPr="00566A0F">
        <w:rPr>
          <w:b w:val="0"/>
          <w:bCs/>
        </w:rPr>
        <w:t xml:space="preserve">models, as </w:t>
      </w:r>
      <w:r w:rsidR="00391B99">
        <w:rPr>
          <w:b w:val="0"/>
          <w:bCs/>
        </w:rPr>
        <w:t>the Company</w:t>
      </w:r>
      <w:r w:rsidR="009C30ED">
        <w:rPr>
          <w:b w:val="0"/>
          <w:bCs/>
        </w:rPr>
        <w:t xml:space="preserve"> has</w:t>
      </w:r>
      <w:r w:rsidR="006C603A" w:rsidRPr="00566A0F">
        <w:rPr>
          <w:b w:val="0"/>
          <w:bCs/>
        </w:rPr>
        <w:t xml:space="preserve"> traditionally done. </w:t>
      </w:r>
      <w:r w:rsidRPr="006C603A">
        <w:rPr>
          <w:b w:val="0"/>
          <w:bCs/>
        </w:rPr>
        <w:t xml:space="preserve">Georgia Power currently anticipates a rapid increase in its summer and winter peak demands due to </w:t>
      </w:r>
      <w:r w:rsidR="009951F8">
        <w:rPr>
          <w:b w:val="0"/>
          <w:bCs/>
        </w:rPr>
        <w:t xml:space="preserve">the </w:t>
      </w:r>
      <w:r w:rsidRPr="006C603A">
        <w:rPr>
          <w:b w:val="0"/>
          <w:bCs/>
        </w:rPr>
        <w:t>new loads expected in the Commercial and Industrial classes.</w:t>
      </w:r>
    </w:p>
    <w:p w14:paraId="6371C0D0" w14:textId="77777777" w:rsidR="00ED5F1D" w:rsidRDefault="00ED5F1D" w:rsidP="006C603A">
      <w:pPr>
        <w:pStyle w:val="BodyText"/>
        <w:spacing w:after="0" w:line="360" w:lineRule="auto"/>
        <w:jc w:val="both"/>
        <w:rPr>
          <w:b w:val="0"/>
          <w:bCs/>
        </w:rPr>
      </w:pPr>
    </w:p>
    <w:p w14:paraId="12AFB745" w14:textId="62055538" w:rsidR="00ED5F1D" w:rsidRDefault="00ED5F1D" w:rsidP="007B00BC">
      <w:pPr>
        <w:pStyle w:val="BodyText"/>
        <w:spacing w:after="0" w:line="360" w:lineRule="auto"/>
        <w:jc w:val="both"/>
        <w:rPr>
          <w:b w:val="0"/>
          <w:bCs/>
        </w:rPr>
      </w:pPr>
      <w:r w:rsidRPr="00AA1E77">
        <w:rPr>
          <w:b w:val="0"/>
          <w:bCs/>
        </w:rPr>
        <w:t>The high-level impacts on peak demands resulting from new large customer loads are presented in Figure</w:t>
      </w:r>
      <w:r w:rsidR="00393469">
        <w:rPr>
          <w:b w:val="0"/>
          <w:bCs/>
        </w:rPr>
        <w:t>s</w:t>
      </w:r>
      <w:r w:rsidRPr="00AA1E77">
        <w:rPr>
          <w:b w:val="0"/>
          <w:bCs/>
        </w:rPr>
        <w:t xml:space="preserve"> 1.1-1 and 1.1-2. These charts contain a comparison of </w:t>
      </w:r>
      <w:r w:rsidR="0003477C">
        <w:rPr>
          <w:b w:val="0"/>
          <w:bCs/>
        </w:rPr>
        <w:t xml:space="preserve">the </w:t>
      </w:r>
      <w:r w:rsidRPr="00AA1E77">
        <w:rPr>
          <w:b w:val="0"/>
          <w:bCs/>
        </w:rPr>
        <w:t xml:space="preserve">Budget 2022 </w:t>
      </w:r>
      <w:r w:rsidR="0003477C">
        <w:rPr>
          <w:b w:val="0"/>
          <w:bCs/>
        </w:rPr>
        <w:t xml:space="preserve">Load Forecast (“Budget 2022”) </w:t>
      </w:r>
      <w:r w:rsidRPr="00AA1E77">
        <w:rPr>
          <w:b w:val="0"/>
          <w:bCs/>
        </w:rPr>
        <w:t>peak</w:t>
      </w:r>
      <w:r w:rsidR="004308A4">
        <w:rPr>
          <w:b w:val="0"/>
          <w:bCs/>
        </w:rPr>
        <w:t xml:space="preserve"> demand</w:t>
      </w:r>
      <w:r w:rsidRPr="00AA1E77">
        <w:rPr>
          <w:b w:val="0"/>
          <w:bCs/>
        </w:rPr>
        <w:t xml:space="preserve">s, which were used in the 2022 IRP, with </w:t>
      </w:r>
      <w:r w:rsidR="0076507E">
        <w:rPr>
          <w:b w:val="0"/>
          <w:bCs/>
        </w:rPr>
        <w:t>the peak demands</w:t>
      </w:r>
      <w:r w:rsidR="00F929BA">
        <w:rPr>
          <w:b w:val="0"/>
          <w:bCs/>
        </w:rPr>
        <w:t xml:space="preserve"> used</w:t>
      </w:r>
      <w:r w:rsidR="0076507E">
        <w:rPr>
          <w:b w:val="0"/>
          <w:bCs/>
        </w:rPr>
        <w:t xml:space="preserve"> </w:t>
      </w:r>
      <w:r w:rsidR="004308A4">
        <w:rPr>
          <w:b w:val="0"/>
          <w:bCs/>
        </w:rPr>
        <w:t xml:space="preserve">in </w:t>
      </w:r>
      <w:r w:rsidRPr="00AA1E77">
        <w:rPr>
          <w:b w:val="0"/>
          <w:bCs/>
        </w:rPr>
        <w:t xml:space="preserve">the 2023 IRP Update </w:t>
      </w:r>
      <w:r>
        <w:rPr>
          <w:b w:val="0"/>
          <w:bCs/>
        </w:rPr>
        <w:t>and Budget 2025</w:t>
      </w:r>
      <w:r w:rsidRPr="00AA1E77">
        <w:rPr>
          <w:b w:val="0"/>
          <w:bCs/>
        </w:rPr>
        <w:t>.</w:t>
      </w:r>
    </w:p>
    <w:p w14:paraId="391D8D98" w14:textId="77777777" w:rsidR="001370CF" w:rsidRDefault="001370CF" w:rsidP="007B00BC">
      <w:pPr>
        <w:pStyle w:val="BodyText"/>
        <w:spacing w:after="0" w:line="360" w:lineRule="auto"/>
        <w:jc w:val="both"/>
        <w:rPr>
          <w:b w:val="0"/>
          <w:bCs/>
        </w:rPr>
      </w:pPr>
    </w:p>
    <w:p w14:paraId="05C1C5A1" w14:textId="48BF5249" w:rsidR="001370CF" w:rsidRDefault="009B115C" w:rsidP="007B00BC">
      <w:pPr>
        <w:pStyle w:val="BodyText"/>
        <w:spacing w:after="0" w:line="360" w:lineRule="auto"/>
        <w:jc w:val="both"/>
        <w:rPr>
          <w:b w:val="0"/>
          <w:bCs/>
        </w:rPr>
      </w:pPr>
      <w:r>
        <w:rPr>
          <w:b w:val="0"/>
        </w:rPr>
        <w:t>As seen in Figure 1.1-1</w:t>
      </w:r>
      <w:r w:rsidR="008556BA">
        <w:rPr>
          <w:b w:val="0"/>
        </w:rPr>
        <w:t>, f</w:t>
      </w:r>
      <w:r w:rsidR="001370CF" w:rsidRPr="00AD25DB">
        <w:rPr>
          <w:b w:val="0"/>
        </w:rPr>
        <w:t>or the period from 2025 through 2031, Budget 2025</w:t>
      </w:r>
      <w:r w:rsidR="001370CF" w:rsidRPr="00AD25DB" w:rsidDel="00106CE5">
        <w:rPr>
          <w:b w:val="0"/>
        </w:rPr>
        <w:t xml:space="preserve"> </w:t>
      </w:r>
      <w:r w:rsidR="001370CF" w:rsidRPr="00AD25DB">
        <w:rPr>
          <w:b w:val="0"/>
        </w:rPr>
        <w:t>reflects summer load growth of more than 8,700 MW.</w:t>
      </w:r>
      <w:r w:rsidR="001370CF" w:rsidRPr="00AD25DB" w:rsidDel="008E276F">
        <w:rPr>
          <w:b w:val="0"/>
        </w:rPr>
        <w:t xml:space="preserve"> </w:t>
      </w:r>
      <w:r w:rsidR="001370CF" w:rsidRPr="00AD25DB">
        <w:rPr>
          <w:b w:val="0"/>
        </w:rPr>
        <w:t xml:space="preserve">This is 40 times greater than the Budget 2022 summer load growth of approximately 200 MW for the same period. </w:t>
      </w:r>
      <w:r w:rsidR="001370CF" w:rsidRPr="008320E4">
        <w:rPr>
          <w:b w:val="0"/>
          <w:bCs/>
        </w:rPr>
        <w:t xml:space="preserve">It </w:t>
      </w:r>
      <w:r w:rsidR="001370CF" w:rsidRPr="006A43AC">
        <w:rPr>
          <w:b w:val="0"/>
          <w:bCs/>
        </w:rPr>
        <w:t xml:space="preserve">is </w:t>
      </w:r>
      <w:r w:rsidR="001370CF">
        <w:rPr>
          <w:b w:val="0"/>
          <w:bCs/>
        </w:rPr>
        <w:t>1.3 times</w:t>
      </w:r>
      <w:r w:rsidR="001370CF" w:rsidRPr="00AD25DB">
        <w:rPr>
          <w:b w:val="0"/>
        </w:rPr>
        <w:t xml:space="preserve"> greater than the 2023 IRP Update summer load growth of 6,500 MW for 2025-2031. </w:t>
      </w:r>
    </w:p>
    <w:p w14:paraId="4A545068" w14:textId="77777777" w:rsidR="007B00BC" w:rsidRDefault="007B00BC" w:rsidP="007B00BC">
      <w:pPr>
        <w:pStyle w:val="BodyText"/>
        <w:spacing w:after="0" w:line="360" w:lineRule="auto"/>
        <w:jc w:val="both"/>
        <w:rPr>
          <w:b w:val="0"/>
          <w:bCs/>
        </w:rPr>
      </w:pPr>
    </w:p>
    <w:p w14:paraId="75C761E4" w14:textId="26D4F283" w:rsidR="001370CF" w:rsidRDefault="001370CF" w:rsidP="001370CF">
      <w:pPr>
        <w:pStyle w:val="BodyText"/>
        <w:spacing w:line="360" w:lineRule="auto"/>
        <w:jc w:val="both"/>
        <w:rPr>
          <w:b w:val="0"/>
          <w:bCs/>
        </w:rPr>
      </w:pPr>
      <w:r w:rsidRPr="005A564E">
        <w:rPr>
          <w:b w:val="0"/>
          <w:bCs/>
        </w:rPr>
        <w:t xml:space="preserve">To account for the potential large loads resulting from economic development, the </w:t>
      </w:r>
      <w:r w:rsidR="00F929BA">
        <w:rPr>
          <w:b w:val="0"/>
          <w:bCs/>
        </w:rPr>
        <w:t>C</w:t>
      </w:r>
      <w:r w:rsidR="00F929BA" w:rsidRPr="005A564E">
        <w:rPr>
          <w:b w:val="0"/>
          <w:bCs/>
        </w:rPr>
        <w:t xml:space="preserve">ompany </w:t>
      </w:r>
      <w:r w:rsidRPr="005A564E">
        <w:rPr>
          <w:b w:val="0"/>
          <w:bCs/>
        </w:rPr>
        <w:t xml:space="preserve">developed a probabilistic model that evaluates a hundred thousand potential combinations of existing and potential economic development loads. These combinations can then be sorted and ranked to create a probability distribution. This distribution helps the </w:t>
      </w:r>
      <w:r w:rsidR="00E436FD">
        <w:rPr>
          <w:b w:val="0"/>
          <w:bCs/>
        </w:rPr>
        <w:t>C</w:t>
      </w:r>
      <w:r w:rsidRPr="005A564E">
        <w:rPr>
          <w:b w:val="0"/>
          <w:bCs/>
        </w:rPr>
        <w:t>ompany assess the likelihood of the loads it will need to serve.</w:t>
      </w:r>
      <w:r w:rsidR="00F929BA">
        <w:rPr>
          <w:b w:val="0"/>
          <w:bCs/>
        </w:rPr>
        <w:t xml:space="preserve"> The output of this probabilistic model is the basis for the external adjustment </w:t>
      </w:r>
      <w:r w:rsidR="000400EB">
        <w:rPr>
          <w:b w:val="0"/>
          <w:bCs/>
        </w:rPr>
        <w:t>applied to the Company’s organic load forecast.</w:t>
      </w:r>
      <w:r w:rsidR="00F929BA">
        <w:rPr>
          <w:b w:val="0"/>
          <w:bCs/>
        </w:rPr>
        <w:t xml:space="preserve"> </w:t>
      </w:r>
    </w:p>
    <w:p w14:paraId="3ABDEBD0" w14:textId="77777777" w:rsidR="001370CF" w:rsidRDefault="001370CF" w:rsidP="00AA1E77">
      <w:pPr>
        <w:pStyle w:val="BodyText"/>
        <w:spacing w:line="360" w:lineRule="auto"/>
        <w:jc w:val="both"/>
        <w:rPr>
          <w:b w:val="0"/>
          <w:bCs/>
        </w:rPr>
      </w:pPr>
    </w:p>
    <w:p w14:paraId="55B5E49B" w14:textId="386FB3A5" w:rsidR="00ED5F1D" w:rsidRPr="00ED5F1D" w:rsidRDefault="00ED5F1D" w:rsidP="00AA1E77">
      <w:pPr>
        <w:pStyle w:val="BodyText"/>
        <w:spacing w:line="360" w:lineRule="auto"/>
        <w:jc w:val="both"/>
        <w:rPr>
          <w:b w:val="0"/>
          <w:bCs/>
        </w:rPr>
        <w:sectPr w:rsidR="00ED5F1D" w:rsidRPr="00ED5F1D" w:rsidSect="00A47EB3">
          <w:footerReference w:type="default" r:id="rId13"/>
          <w:pgSz w:w="12240" w:h="15840"/>
          <w:pgMar w:top="1440" w:right="1800" w:bottom="1440" w:left="1267" w:header="720" w:footer="720" w:gutter="0"/>
          <w:pgNumType w:start="1"/>
          <w:cols w:space="720"/>
        </w:sectPr>
      </w:pPr>
    </w:p>
    <w:p w14:paraId="32B73748" w14:textId="77777777" w:rsidR="006A3A7F" w:rsidRDefault="00B02E86" w:rsidP="002D27D0">
      <w:pPr>
        <w:pStyle w:val="BodyText"/>
        <w:spacing w:after="0" w:line="360" w:lineRule="auto"/>
        <w:jc w:val="left"/>
      </w:pPr>
      <w:r w:rsidRPr="00B6445B">
        <w:lastRenderedPageBreak/>
        <w:t xml:space="preserve">Figure 1.1-1: </w:t>
      </w:r>
      <w:r w:rsidR="00EA2930">
        <w:t xml:space="preserve">Summer </w:t>
      </w:r>
      <w:r w:rsidRPr="00962A18">
        <w:t>Peak Demand Forecast</w:t>
      </w:r>
    </w:p>
    <w:p w14:paraId="78524E35" w14:textId="77777777" w:rsidR="002D27D0" w:rsidRDefault="002D27D0" w:rsidP="002D27D0">
      <w:pPr>
        <w:pStyle w:val="BodyText"/>
        <w:spacing w:after="0" w:line="360" w:lineRule="auto"/>
        <w:jc w:val="left"/>
      </w:pPr>
    </w:p>
    <w:p w14:paraId="2CEF8B5E" w14:textId="390C0812" w:rsidR="000A4B58" w:rsidRDefault="00D0144C" w:rsidP="001F109C">
      <w:pPr>
        <w:pStyle w:val="BodyText"/>
        <w:spacing w:line="360" w:lineRule="auto"/>
        <w:jc w:val="left"/>
      </w:pPr>
      <w:r w:rsidRPr="00D0144C">
        <w:rPr>
          <w:noProof/>
        </w:rPr>
        <w:drawing>
          <wp:inline distT="0" distB="0" distL="0" distR="0" wp14:anchorId="1D0E96C2" wp14:editId="15CFD204">
            <wp:extent cx="8110218" cy="4066161"/>
            <wp:effectExtent l="0" t="0" r="5715" b="0"/>
            <wp:docPr id="207782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142259" cy="4082225"/>
                    </a:xfrm>
                    <a:prstGeom prst="rect">
                      <a:avLst/>
                    </a:prstGeom>
                    <a:noFill/>
                    <a:ln>
                      <a:noFill/>
                    </a:ln>
                  </pic:spPr>
                </pic:pic>
              </a:graphicData>
            </a:graphic>
          </wp:inline>
        </w:drawing>
      </w:r>
    </w:p>
    <w:p w14:paraId="51014194" w14:textId="573AFBB7" w:rsidR="002F10FE" w:rsidRDefault="002F10FE" w:rsidP="002F10FE">
      <w:pPr>
        <w:pStyle w:val="BodyTextIndent"/>
        <w:keepNext/>
        <w:ind w:left="0"/>
        <w:jc w:val="left"/>
        <w:rPr>
          <w:b/>
        </w:rPr>
      </w:pPr>
      <w:r w:rsidRPr="00B6445B">
        <w:rPr>
          <w:b/>
        </w:rPr>
        <w:lastRenderedPageBreak/>
        <w:t xml:space="preserve">Figure 1.1-2: </w:t>
      </w:r>
      <w:r>
        <w:rPr>
          <w:b/>
        </w:rPr>
        <w:t>Winter Peak Demand</w:t>
      </w:r>
      <w:r w:rsidR="00BE5897">
        <w:rPr>
          <w:b/>
        </w:rPr>
        <w:t xml:space="preserve"> Forecast</w:t>
      </w:r>
      <w:r w:rsidR="003E651B">
        <w:rPr>
          <w:rStyle w:val="FootnoteReference"/>
          <w:b/>
          <w:bCs/>
        </w:rPr>
        <w:footnoteReference w:id="5"/>
      </w:r>
    </w:p>
    <w:p w14:paraId="144CB7CF" w14:textId="77777777" w:rsidR="002D27D0" w:rsidRDefault="002D27D0" w:rsidP="002F10FE">
      <w:pPr>
        <w:pStyle w:val="BodyTextIndent"/>
        <w:keepNext/>
        <w:ind w:left="0"/>
        <w:jc w:val="left"/>
        <w:rPr>
          <w:b/>
        </w:rPr>
      </w:pPr>
    </w:p>
    <w:p w14:paraId="3DDC0239" w14:textId="77777777" w:rsidR="0096596A" w:rsidRDefault="006A3A7F">
      <w:pPr>
        <w:pStyle w:val="BodyTextIndent"/>
        <w:spacing w:line="360" w:lineRule="auto"/>
        <w:ind w:left="0"/>
        <w:jc w:val="left"/>
        <w:rPr>
          <w:noProof/>
        </w:rPr>
        <w:sectPr w:rsidR="0096596A" w:rsidSect="006A43AC">
          <w:pgSz w:w="15840" w:h="12240" w:orient="landscape"/>
          <w:pgMar w:top="1267" w:right="1440" w:bottom="1800" w:left="1440" w:header="720" w:footer="720" w:gutter="0"/>
          <w:cols w:space="720"/>
        </w:sectPr>
      </w:pPr>
      <w:r w:rsidRPr="006A3A7F">
        <w:rPr>
          <w:noProof/>
        </w:rPr>
        <w:drawing>
          <wp:inline distT="0" distB="0" distL="0" distR="0" wp14:anchorId="208012DA" wp14:editId="6182E363">
            <wp:extent cx="8113327" cy="4075889"/>
            <wp:effectExtent l="0" t="0" r="2540" b="1270"/>
            <wp:docPr id="99374182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16705" cy="4077586"/>
                    </a:xfrm>
                    <a:prstGeom prst="rect">
                      <a:avLst/>
                    </a:prstGeom>
                    <a:noFill/>
                    <a:ln>
                      <a:noFill/>
                    </a:ln>
                  </pic:spPr>
                </pic:pic>
              </a:graphicData>
            </a:graphic>
          </wp:inline>
        </w:drawing>
      </w:r>
    </w:p>
    <w:p w14:paraId="093A8607" w14:textId="5E86495B" w:rsidR="003E740B" w:rsidRDefault="00496BBD" w:rsidP="00335E8A">
      <w:pPr>
        <w:spacing w:line="360" w:lineRule="auto"/>
        <w:jc w:val="both"/>
        <w:rPr>
          <w:b w:val="0"/>
          <w:bCs/>
        </w:rPr>
      </w:pPr>
      <w:r>
        <w:rPr>
          <w:b w:val="0"/>
          <w:bCs/>
        </w:rPr>
        <w:lastRenderedPageBreak/>
        <w:t xml:space="preserve">The comparisons in Figure 1-1.2 </w:t>
      </w:r>
      <w:r>
        <w:rPr>
          <w:b w:val="0"/>
        </w:rPr>
        <w:t>show</w:t>
      </w:r>
      <w:r>
        <w:rPr>
          <w:b w:val="0"/>
          <w:bCs/>
        </w:rPr>
        <w:t xml:space="preserve"> a pattern s</w:t>
      </w:r>
      <w:r w:rsidR="00F470F2">
        <w:rPr>
          <w:b w:val="0"/>
          <w:bCs/>
        </w:rPr>
        <w:t xml:space="preserve">imilar to </w:t>
      </w:r>
      <w:r w:rsidR="00BB6BAE">
        <w:rPr>
          <w:b w:val="0"/>
          <w:bCs/>
        </w:rPr>
        <w:t>s</w:t>
      </w:r>
      <w:r w:rsidR="00F470F2">
        <w:rPr>
          <w:b w:val="0"/>
          <w:bCs/>
        </w:rPr>
        <w:t xml:space="preserve">ummer peak demand, </w:t>
      </w:r>
      <w:r>
        <w:rPr>
          <w:b w:val="0"/>
          <w:bCs/>
        </w:rPr>
        <w:t xml:space="preserve">with </w:t>
      </w:r>
      <w:r w:rsidR="000400EB">
        <w:rPr>
          <w:b w:val="0"/>
          <w:bCs/>
        </w:rPr>
        <w:t xml:space="preserve">Budget 2025 </w:t>
      </w:r>
      <w:r w:rsidR="00BB6BAE">
        <w:rPr>
          <w:b w:val="0"/>
          <w:bCs/>
        </w:rPr>
        <w:t>w</w:t>
      </w:r>
      <w:r w:rsidR="00F470F2">
        <w:rPr>
          <w:b w:val="0"/>
          <w:bCs/>
        </w:rPr>
        <w:t>inter peaks growing strongly compared to Budget 2022</w:t>
      </w:r>
      <w:r>
        <w:rPr>
          <w:b w:val="0"/>
          <w:bCs/>
        </w:rPr>
        <w:t xml:space="preserve"> and the Budget 2023 IRP Update</w:t>
      </w:r>
      <w:r w:rsidR="00F470F2">
        <w:rPr>
          <w:b w:val="0"/>
          <w:bCs/>
        </w:rPr>
        <w:t xml:space="preserve">, driven by growth in large customer loads. </w:t>
      </w:r>
      <w:r w:rsidR="00F470F2" w:rsidRPr="00335E8A">
        <w:rPr>
          <w:b w:val="0"/>
          <w:bCs/>
        </w:rPr>
        <w:t>For the period from 20</w:t>
      </w:r>
      <w:r w:rsidR="00F470F2">
        <w:rPr>
          <w:b w:val="0"/>
          <w:bCs/>
        </w:rPr>
        <w:t>25</w:t>
      </w:r>
      <w:r w:rsidR="00F470F2" w:rsidRPr="00335E8A">
        <w:rPr>
          <w:b w:val="0"/>
          <w:bCs/>
        </w:rPr>
        <w:t xml:space="preserve"> through 2031, </w:t>
      </w:r>
      <w:r w:rsidR="00F470F2">
        <w:rPr>
          <w:b w:val="0"/>
          <w:bCs/>
        </w:rPr>
        <w:t xml:space="preserve">Budget </w:t>
      </w:r>
      <w:r w:rsidR="00F470F2" w:rsidRPr="00335E8A">
        <w:rPr>
          <w:b w:val="0"/>
          <w:bCs/>
        </w:rPr>
        <w:t>20</w:t>
      </w:r>
      <w:r w:rsidR="00F470F2">
        <w:rPr>
          <w:b w:val="0"/>
          <w:bCs/>
        </w:rPr>
        <w:t>25</w:t>
      </w:r>
      <w:r w:rsidR="00F470F2" w:rsidRPr="00335E8A">
        <w:rPr>
          <w:b w:val="0"/>
          <w:bCs/>
        </w:rPr>
        <w:t xml:space="preserve"> reflects winter load growth of approximately </w:t>
      </w:r>
      <w:r w:rsidR="00BB6BAE">
        <w:rPr>
          <w:b w:val="0"/>
          <w:bCs/>
        </w:rPr>
        <w:t>8</w:t>
      </w:r>
      <w:r w:rsidR="00F470F2" w:rsidRPr="00335E8A">
        <w:rPr>
          <w:b w:val="0"/>
          <w:bCs/>
        </w:rPr>
        <w:t>,</w:t>
      </w:r>
      <w:r w:rsidR="00BB6BAE">
        <w:rPr>
          <w:b w:val="0"/>
          <w:bCs/>
        </w:rPr>
        <w:t>2</w:t>
      </w:r>
      <w:r w:rsidR="00F470F2" w:rsidRPr="00335E8A">
        <w:rPr>
          <w:b w:val="0"/>
          <w:bCs/>
        </w:rPr>
        <w:t xml:space="preserve">00 MW. This is approximately </w:t>
      </w:r>
      <w:r w:rsidR="00BB6BAE">
        <w:rPr>
          <w:b w:val="0"/>
          <w:bCs/>
        </w:rPr>
        <w:t>25</w:t>
      </w:r>
      <w:r w:rsidR="00F470F2" w:rsidRPr="00335E8A">
        <w:rPr>
          <w:b w:val="0"/>
          <w:bCs/>
        </w:rPr>
        <w:t xml:space="preserve"> times greater than the Budget 2022 winter load growth of approximately </w:t>
      </w:r>
      <w:r w:rsidR="00BB6BAE">
        <w:rPr>
          <w:b w:val="0"/>
          <w:bCs/>
        </w:rPr>
        <w:t>3</w:t>
      </w:r>
      <w:r w:rsidR="00F470F2" w:rsidRPr="00335E8A">
        <w:rPr>
          <w:b w:val="0"/>
          <w:bCs/>
        </w:rPr>
        <w:t xml:space="preserve">00 MW for the same period. It is </w:t>
      </w:r>
      <w:r w:rsidR="00BB6BAE">
        <w:rPr>
          <w:b w:val="0"/>
          <w:bCs/>
        </w:rPr>
        <w:t xml:space="preserve">nearly </w:t>
      </w:r>
      <w:r w:rsidR="00422C1B">
        <w:rPr>
          <w:b w:val="0"/>
          <w:bCs/>
        </w:rPr>
        <w:t xml:space="preserve">1.4 </w:t>
      </w:r>
      <w:r w:rsidR="0000267A">
        <w:rPr>
          <w:b w:val="0"/>
          <w:bCs/>
        </w:rPr>
        <w:t>times greater</w:t>
      </w:r>
      <w:r w:rsidR="00F470F2" w:rsidRPr="00335E8A">
        <w:rPr>
          <w:b w:val="0"/>
          <w:bCs/>
        </w:rPr>
        <w:t xml:space="preserve"> than the Budget 2023 </w:t>
      </w:r>
      <w:r w:rsidR="00BB6BAE">
        <w:rPr>
          <w:b w:val="0"/>
          <w:bCs/>
        </w:rPr>
        <w:t xml:space="preserve">IRP Update </w:t>
      </w:r>
      <w:r w:rsidR="00F470F2" w:rsidRPr="00335E8A">
        <w:rPr>
          <w:b w:val="0"/>
          <w:bCs/>
        </w:rPr>
        <w:t xml:space="preserve">winter load growth of approximately </w:t>
      </w:r>
      <w:r w:rsidR="00BB6BAE">
        <w:rPr>
          <w:b w:val="0"/>
          <w:bCs/>
        </w:rPr>
        <w:t>5</w:t>
      </w:r>
      <w:r w:rsidR="00F470F2" w:rsidRPr="00335E8A">
        <w:rPr>
          <w:b w:val="0"/>
          <w:bCs/>
        </w:rPr>
        <w:t>,</w:t>
      </w:r>
      <w:r w:rsidR="00BB6BAE">
        <w:rPr>
          <w:b w:val="0"/>
          <w:bCs/>
        </w:rPr>
        <w:t>90</w:t>
      </w:r>
      <w:r w:rsidR="00F470F2" w:rsidRPr="00335E8A">
        <w:rPr>
          <w:b w:val="0"/>
          <w:bCs/>
        </w:rPr>
        <w:t>0 MW for 202</w:t>
      </w:r>
      <w:r w:rsidR="00BB6BAE">
        <w:rPr>
          <w:b w:val="0"/>
          <w:bCs/>
        </w:rPr>
        <w:t>5</w:t>
      </w:r>
      <w:r w:rsidR="00F470F2" w:rsidRPr="00335E8A">
        <w:rPr>
          <w:b w:val="0"/>
          <w:bCs/>
        </w:rPr>
        <w:t>-2031.</w:t>
      </w:r>
      <w:r w:rsidR="004C430F">
        <w:rPr>
          <w:b w:val="0"/>
          <w:bCs/>
        </w:rPr>
        <w:t xml:space="preserve"> </w:t>
      </w:r>
    </w:p>
    <w:p w14:paraId="2800FF72" w14:textId="77777777" w:rsidR="00951B4A" w:rsidRDefault="00951B4A" w:rsidP="00335E8A">
      <w:pPr>
        <w:spacing w:line="360" w:lineRule="auto"/>
        <w:jc w:val="both"/>
        <w:rPr>
          <w:b w:val="0"/>
          <w:bCs/>
        </w:rPr>
      </w:pPr>
    </w:p>
    <w:p w14:paraId="5EA2CFD1" w14:textId="59FD0B7A" w:rsidR="00F53A00" w:rsidRDefault="004C430F" w:rsidP="00335E8A">
      <w:pPr>
        <w:spacing w:line="360" w:lineRule="auto"/>
        <w:jc w:val="both"/>
      </w:pPr>
      <w:r>
        <w:rPr>
          <w:b w:val="0"/>
          <w:bCs/>
        </w:rPr>
        <w:t xml:space="preserve">In 2026 and 2027, Budget 2025 winter peaks are slightly lower than in the 2023 IRP Update due to a change in the </w:t>
      </w:r>
      <w:r w:rsidR="0059251C">
        <w:rPr>
          <w:b w:val="0"/>
          <w:bCs/>
        </w:rPr>
        <w:t xml:space="preserve">expected </w:t>
      </w:r>
      <w:r>
        <w:rPr>
          <w:b w:val="0"/>
          <w:bCs/>
        </w:rPr>
        <w:t>ramp-in schedule in some of the large load projects.</w:t>
      </w:r>
      <w:r w:rsidR="00616255">
        <w:rPr>
          <w:b w:val="0"/>
          <w:bCs/>
        </w:rPr>
        <w:t xml:space="preserve"> </w:t>
      </w:r>
    </w:p>
    <w:p w14:paraId="339C33B4" w14:textId="77777777" w:rsidR="00F53A00" w:rsidRDefault="00F53A00" w:rsidP="005962E4">
      <w:pPr>
        <w:pStyle w:val="BodyTextIndent"/>
        <w:spacing w:after="0" w:line="360" w:lineRule="auto"/>
        <w:ind w:left="0"/>
        <w:jc w:val="both"/>
      </w:pPr>
    </w:p>
    <w:p w14:paraId="12B95CFC" w14:textId="77777777" w:rsidR="00497814" w:rsidRDefault="008763ED" w:rsidP="003D34F2">
      <w:pPr>
        <w:pStyle w:val="BodyTextIndent"/>
        <w:keepNext/>
        <w:spacing w:line="360" w:lineRule="auto"/>
        <w:ind w:left="0"/>
        <w:jc w:val="both"/>
      </w:pPr>
      <w:r>
        <w:t xml:space="preserve">Comparing the summer and winter peaks in Figures 1.1-1 and 1.1-2, it is evident that </w:t>
      </w:r>
      <w:r w:rsidR="00C52232">
        <w:t xml:space="preserve">Georgia Power is expected to </w:t>
      </w:r>
      <w:r w:rsidR="00B9195C">
        <w:t>remain</w:t>
      </w:r>
      <w:r w:rsidR="00C52232">
        <w:t xml:space="preserve"> a summer-peaking utility</w:t>
      </w:r>
      <w:r>
        <w:t xml:space="preserve"> over the forecast horizon</w:t>
      </w:r>
      <w:r w:rsidR="00C52232">
        <w:t>.</w:t>
      </w:r>
      <w:r w:rsidR="00BC7890">
        <w:t xml:space="preserve"> The difference between summer and winter peaks in Budget </w:t>
      </w:r>
      <w:r w:rsidR="0003477C">
        <w:t xml:space="preserve">2025 </w:t>
      </w:r>
      <w:r w:rsidR="00BC7890">
        <w:t xml:space="preserve">ranges from </w:t>
      </w:r>
      <w:r w:rsidR="004C430F">
        <w:t xml:space="preserve">approximately 1,500 MW </w:t>
      </w:r>
      <w:r w:rsidR="00BC7890">
        <w:t xml:space="preserve">to </w:t>
      </w:r>
      <w:r w:rsidR="004C430F">
        <w:t xml:space="preserve">over 2,400 </w:t>
      </w:r>
      <w:r w:rsidR="00BC7890">
        <w:t>MW.</w:t>
      </w:r>
    </w:p>
    <w:p w14:paraId="7A7E80CE" w14:textId="24ACC2C9" w:rsidR="00E64B47" w:rsidRPr="0083653A" w:rsidRDefault="00BC7890" w:rsidP="003D34F2">
      <w:pPr>
        <w:pStyle w:val="BodyTextIndent"/>
        <w:keepNext/>
        <w:spacing w:line="360" w:lineRule="auto"/>
        <w:ind w:left="0"/>
        <w:jc w:val="both"/>
      </w:pPr>
      <w:r>
        <w:t xml:space="preserve"> </w:t>
      </w:r>
    </w:p>
    <w:p w14:paraId="24C8E96F" w14:textId="566D5F7B" w:rsidR="00B02E86" w:rsidRPr="00B02E86" w:rsidRDefault="00B02E86" w:rsidP="00B02E86">
      <w:pPr>
        <w:pStyle w:val="Heading1"/>
        <w:jc w:val="left"/>
        <w:rPr>
          <w:rFonts w:ascii="Arial" w:hAnsi="Arial" w:cs="Arial"/>
          <w:b/>
          <w:color w:val="auto"/>
        </w:rPr>
      </w:pPr>
      <w:bookmarkStart w:id="134" w:name="_Toc347120352"/>
      <w:bookmarkStart w:id="135" w:name="_Toc188257116"/>
      <w:bookmarkStart w:id="136" w:name="_Toc188257331"/>
      <w:bookmarkStart w:id="137" w:name="_Toc188257555"/>
      <w:bookmarkStart w:id="138" w:name="_Toc189162564"/>
      <w:r w:rsidRPr="00B02E86">
        <w:rPr>
          <w:rFonts w:ascii="Arial" w:hAnsi="Arial" w:cs="Arial"/>
          <w:b/>
          <w:color w:val="auto"/>
        </w:rPr>
        <w:t>1.2</w:t>
      </w:r>
      <w:r w:rsidRPr="00B02E86">
        <w:rPr>
          <w:rFonts w:ascii="Arial" w:hAnsi="Arial" w:cs="Arial"/>
          <w:b/>
          <w:color w:val="auto"/>
        </w:rPr>
        <w:tab/>
        <w:t>ENERGY SALES</w:t>
      </w:r>
      <w:bookmarkEnd w:id="134"/>
      <w:bookmarkEnd w:id="135"/>
      <w:bookmarkEnd w:id="136"/>
      <w:bookmarkEnd w:id="137"/>
      <w:bookmarkEnd w:id="138"/>
    </w:p>
    <w:p w14:paraId="4AB00E0E" w14:textId="23ACFE00" w:rsidR="00B02E86" w:rsidRDefault="00B02E86" w:rsidP="00B02E86">
      <w:pPr>
        <w:jc w:val="left"/>
      </w:pPr>
    </w:p>
    <w:p w14:paraId="0E6365F2" w14:textId="6BE7E7EF" w:rsidR="00D02073" w:rsidRDefault="00D02073" w:rsidP="00D02073">
      <w:pPr>
        <w:pStyle w:val="Heading2"/>
        <w:jc w:val="left"/>
        <w:rPr>
          <w:rFonts w:ascii="Arial" w:hAnsi="Arial" w:cs="Arial"/>
          <w:b/>
          <w:color w:val="auto"/>
          <w:sz w:val="20"/>
          <w:szCs w:val="20"/>
        </w:rPr>
      </w:pPr>
      <w:bookmarkStart w:id="139" w:name="_Toc188257117"/>
      <w:bookmarkStart w:id="140" w:name="_Toc188257332"/>
      <w:bookmarkStart w:id="141" w:name="_Toc188257556"/>
      <w:bookmarkStart w:id="142" w:name="_Toc189162565"/>
      <w:r w:rsidRPr="00B02E86">
        <w:rPr>
          <w:rFonts w:ascii="Arial" w:hAnsi="Arial" w:cs="Arial"/>
          <w:b/>
          <w:color w:val="auto"/>
          <w:sz w:val="20"/>
          <w:szCs w:val="20"/>
        </w:rPr>
        <w:t>1.2.</w:t>
      </w:r>
      <w:r>
        <w:rPr>
          <w:rFonts w:ascii="Arial" w:hAnsi="Arial" w:cs="Arial"/>
          <w:b/>
          <w:color w:val="auto"/>
          <w:sz w:val="20"/>
          <w:szCs w:val="20"/>
        </w:rPr>
        <w:t>1</w:t>
      </w:r>
      <w:r w:rsidRPr="00B02E86">
        <w:rPr>
          <w:rFonts w:ascii="Arial" w:hAnsi="Arial" w:cs="Arial"/>
          <w:b/>
          <w:color w:val="auto"/>
          <w:sz w:val="20"/>
          <w:szCs w:val="20"/>
        </w:rPr>
        <w:t xml:space="preserve"> </w:t>
      </w:r>
      <w:r w:rsidR="00775830">
        <w:rPr>
          <w:rFonts w:ascii="Arial" w:hAnsi="Arial" w:cs="Arial"/>
          <w:b/>
          <w:color w:val="auto"/>
          <w:sz w:val="20"/>
          <w:szCs w:val="20"/>
        </w:rPr>
        <w:tab/>
      </w:r>
      <w:r>
        <w:rPr>
          <w:rFonts w:ascii="Arial" w:hAnsi="Arial" w:cs="Arial"/>
          <w:b/>
          <w:color w:val="auto"/>
          <w:sz w:val="20"/>
          <w:szCs w:val="20"/>
        </w:rPr>
        <w:t>Territorial</w:t>
      </w:r>
      <w:bookmarkEnd w:id="139"/>
      <w:bookmarkEnd w:id="140"/>
      <w:bookmarkEnd w:id="141"/>
      <w:bookmarkEnd w:id="142"/>
    </w:p>
    <w:p w14:paraId="75BAD088" w14:textId="77777777" w:rsidR="00D02073" w:rsidRDefault="00D02073" w:rsidP="009D6CFA">
      <w:pPr>
        <w:pStyle w:val="BodyTextIndent"/>
        <w:ind w:left="0"/>
        <w:jc w:val="both"/>
      </w:pPr>
    </w:p>
    <w:p w14:paraId="4CC2125F" w14:textId="7357FE8C" w:rsidR="008E7B16" w:rsidRDefault="008E7B16" w:rsidP="00614112">
      <w:pPr>
        <w:pStyle w:val="BodyTextIndent"/>
        <w:spacing w:after="0" w:line="360" w:lineRule="auto"/>
        <w:ind w:left="0"/>
        <w:jc w:val="both"/>
      </w:pPr>
      <w:r w:rsidRPr="000E252A">
        <w:t>Figure 1.</w:t>
      </w:r>
      <w:r w:rsidR="00D02073">
        <w:t>2.1</w:t>
      </w:r>
      <w:r w:rsidRPr="000E252A">
        <w:t>-</w:t>
      </w:r>
      <w:r w:rsidR="00D02073">
        <w:t>1</w:t>
      </w:r>
      <w:r w:rsidRPr="000E252A">
        <w:t xml:space="preserve"> shows the expected growth in territorial energy sales over the forecast horizon. In absolute terms, the amount of </w:t>
      </w:r>
      <w:r w:rsidR="002C5F28">
        <w:t>gigawatt hour (“</w:t>
      </w:r>
      <w:r w:rsidRPr="000E252A">
        <w:t>GWh</w:t>
      </w:r>
      <w:r w:rsidR="002C5F28">
        <w:t>”)</w:t>
      </w:r>
      <w:r w:rsidRPr="000E252A">
        <w:t xml:space="preserve"> growth </w:t>
      </w:r>
      <w:r>
        <w:t xml:space="preserve">is indicated by </w:t>
      </w:r>
      <w:r w:rsidRPr="000E252A">
        <w:t xml:space="preserve">the average annual growth rate (“AAGR”). </w:t>
      </w:r>
      <w:r w:rsidR="00816B01">
        <w:t xml:space="preserve">The compound </w:t>
      </w:r>
      <w:r w:rsidR="002F2E2A">
        <w:t>a</w:t>
      </w:r>
      <w:r w:rsidR="00816B01">
        <w:t>nnual growth rate</w:t>
      </w:r>
      <w:r w:rsidR="006C3D59">
        <w:t xml:space="preserve"> (“CAGR”) shows the percentage growth </w:t>
      </w:r>
      <w:r w:rsidR="00363413">
        <w:t xml:space="preserve">in energy sales </w:t>
      </w:r>
      <w:r w:rsidR="006C3D59">
        <w:t>over different time periods</w:t>
      </w:r>
      <w:r w:rsidR="00992A07">
        <w:t>.</w:t>
      </w:r>
      <w:r w:rsidR="00816B01">
        <w:t xml:space="preserve"> </w:t>
      </w:r>
      <w:r w:rsidRPr="000E252A">
        <w:t xml:space="preserve">During the historical period from </w:t>
      </w:r>
      <w:r w:rsidR="00083190" w:rsidRPr="000E252A">
        <w:t>20</w:t>
      </w:r>
      <w:r w:rsidR="00083190">
        <w:t>13</w:t>
      </w:r>
      <w:r w:rsidR="00083190" w:rsidRPr="000E252A">
        <w:t xml:space="preserve"> </w:t>
      </w:r>
      <w:r w:rsidRPr="000E252A">
        <w:t xml:space="preserve">to </w:t>
      </w:r>
      <w:r w:rsidR="00083190" w:rsidRPr="000E252A">
        <w:t>20</w:t>
      </w:r>
      <w:r w:rsidR="00083190">
        <w:t>23</w:t>
      </w:r>
      <w:r w:rsidRPr="000E252A">
        <w:t xml:space="preserve">, which includes the </w:t>
      </w:r>
      <w:r w:rsidR="002B513E">
        <w:t>Covid-19 pandemic</w:t>
      </w:r>
      <w:r w:rsidRPr="000E252A">
        <w:t xml:space="preserve">, average growth </w:t>
      </w:r>
      <w:r w:rsidR="00083190">
        <w:t>increas</w:t>
      </w:r>
      <w:r w:rsidR="00083190" w:rsidRPr="000E252A">
        <w:t xml:space="preserve">ed </w:t>
      </w:r>
      <w:r w:rsidRPr="000E252A">
        <w:t xml:space="preserve">by </w:t>
      </w:r>
      <w:r w:rsidR="00083190">
        <w:t>just 318</w:t>
      </w:r>
      <w:r w:rsidR="00083190" w:rsidRPr="000E252A">
        <w:t xml:space="preserve"> </w:t>
      </w:r>
      <w:r w:rsidRPr="000E252A">
        <w:t xml:space="preserve">GWh per year. Budget </w:t>
      </w:r>
      <w:r w:rsidR="00083190" w:rsidRPr="000E252A">
        <w:t>20</w:t>
      </w:r>
      <w:r w:rsidR="00083190">
        <w:t>25</w:t>
      </w:r>
      <w:r w:rsidR="00083190" w:rsidRPr="000E252A">
        <w:t xml:space="preserve"> </w:t>
      </w:r>
      <w:r w:rsidRPr="000E252A">
        <w:t xml:space="preserve">anticipates an average growth of </w:t>
      </w:r>
      <w:r w:rsidR="00083190">
        <w:t>7,90</w:t>
      </w:r>
      <w:r w:rsidR="00D8203B">
        <w:t>0</w:t>
      </w:r>
      <w:r w:rsidR="00083190" w:rsidRPr="000E252A">
        <w:t xml:space="preserve"> </w:t>
      </w:r>
      <w:r w:rsidRPr="000E252A">
        <w:t xml:space="preserve">GWh each year from </w:t>
      </w:r>
      <w:r w:rsidR="00083190" w:rsidRPr="000E252A">
        <w:t>20</w:t>
      </w:r>
      <w:r w:rsidR="00083190">
        <w:t>24</w:t>
      </w:r>
      <w:r w:rsidRPr="000E252A">
        <w:t>-</w:t>
      </w:r>
      <w:r w:rsidR="00083190" w:rsidRPr="000E252A">
        <w:t>20</w:t>
      </w:r>
      <w:r w:rsidR="00083190">
        <w:t>34</w:t>
      </w:r>
      <w:r w:rsidRPr="000E252A">
        <w:t xml:space="preserve">, while Budget </w:t>
      </w:r>
      <w:r w:rsidR="00083190" w:rsidRPr="000E252A">
        <w:t>20</w:t>
      </w:r>
      <w:r w:rsidR="00083190">
        <w:t>22</w:t>
      </w:r>
      <w:r w:rsidR="00083190" w:rsidRPr="000E252A">
        <w:t xml:space="preserve"> </w:t>
      </w:r>
      <w:r w:rsidR="00083190">
        <w:t xml:space="preserve">and the 2023 IRP Update </w:t>
      </w:r>
      <w:r w:rsidRPr="000E252A">
        <w:t xml:space="preserve">predicted growth of </w:t>
      </w:r>
      <w:r w:rsidR="00083190" w:rsidRPr="009D6CFA">
        <w:t>5</w:t>
      </w:r>
      <w:r w:rsidR="00083190">
        <w:t>00</w:t>
      </w:r>
      <w:r w:rsidR="00083190" w:rsidRPr="000E252A">
        <w:t xml:space="preserve"> </w:t>
      </w:r>
      <w:r w:rsidRPr="000E252A">
        <w:t xml:space="preserve">GWh </w:t>
      </w:r>
      <w:r w:rsidR="00083190">
        <w:t>and 6,</w:t>
      </w:r>
      <w:r w:rsidR="00D8203B">
        <w:t>200</w:t>
      </w:r>
      <w:r w:rsidR="00083190">
        <w:t xml:space="preserve"> GWh </w:t>
      </w:r>
      <w:r w:rsidRPr="000E252A">
        <w:t>per year</w:t>
      </w:r>
      <w:r w:rsidR="002B513E">
        <w:t xml:space="preserve"> over this same period</w:t>
      </w:r>
      <w:r w:rsidRPr="000E252A">
        <w:t>.</w:t>
      </w:r>
      <w:r w:rsidR="00083190">
        <w:t xml:space="preserve"> </w:t>
      </w:r>
    </w:p>
    <w:p w14:paraId="0DD6E412" w14:textId="77777777" w:rsidR="00813762" w:rsidRDefault="00813762" w:rsidP="00614112">
      <w:pPr>
        <w:pStyle w:val="BodyTextIndent"/>
        <w:spacing w:after="0" w:line="360" w:lineRule="auto"/>
        <w:ind w:left="0"/>
        <w:jc w:val="both"/>
      </w:pPr>
    </w:p>
    <w:p w14:paraId="7CA26EAF" w14:textId="6FAFC0E4" w:rsidR="00083190" w:rsidRPr="00450500" w:rsidRDefault="00083190" w:rsidP="00450500">
      <w:pPr>
        <w:spacing w:line="360" w:lineRule="auto"/>
        <w:jc w:val="both"/>
        <w:rPr>
          <w:b w:val="0"/>
          <w:bCs/>
        </w:rPr>
      </w:pPr>
      <w:r w:rsidRPr="00450500">
        <w:rPr>
          <w:b w:val="0"/>
          <w:bCs/>
        </w:rPr>
        <w:t xml:space="preserve">Territorial energy sales </w:t>
      </w:r>
      <w:r w:rsidR="00D61AE2">
        <w:rPr>
          <w:b w:val="0"/>
          <w:bCs/>
        </w:rPr>
        <w:t>are</w:t>
      </w:r>
      <w:r w:rsidR="00D61AE2" w:rsidRPr="00450500">
        <w:rPr>
          <w:b w:val="0"/>
          <w:bCs/>
        </w:rPr>
        <w:t xml:space="preserve"> </w:t>
      </w:r>
      <w:r w:rsidRPr="00450500">
        <w:rPr>
          <w:b w:val="0"/>
          <w:bCs/>
        </w:rPr>
        <w:t xml:space="preserve">a combination of the following classes: </w:t>
      </w:r>
      <w:r w:rsidR="00234820">
        <w:rPr>
          <w:b w:val="0"/>
          <w:bCs/>
        </w:rPr>
        <w:t>r</w:t>
      </w:r>
      <w:r w:rsidRPr="00450500">
        <w:rPr>
          <w:b w:val="0"/>
          <w:bCs/>
        </w:rPr>
        <w:t xml:space="preserve">esidential, </w:t>
      </w:r>
      <w:r w:rsidR="00234820">
        <w:rPr>
          <w:b w:val="0"/>
          <w:bCs/>
        </w:rPr>
        <w:t>c</w:t>
      </w:r>
      <w:r w:rsidRPr="00450500">
        <w:rPr>
          <w:b w:val="0"/>
          <w:bCs/>
        </w:rPr>
        <w:t xml:space="preserve">ommercial, </w:t>
      </w:r>
      <w:r w:rsidR="00234820">
        <w:rPr>
          <w:b w:val="0"/>
          <w:bCs/>
        </w:rPr>
        <w:t>i</w:t>
      </w:r>
      <w:r w:rsidRPr="00450500">
        <w:rPr>
          <w:b w:val="0"/>
          <w:bCs/>
        </w:rPr>
        <w:t xml:space="preserve">ndustrial, </w:t>
      </w:r>
      <w:r w:rsidR="00234820">
        <w:rPr>
          <w:b w:val="0"/>
          <w:bCs/>
        </w:rPr>
        <w:t>g</w:t>
      </w:r>
      <w:r w:rsidRPr="00450500">
        <w:rPr>
          <w:b w:val="0"/>
          <w:bCs/>
        </w:rPr>
        <w:t xml:space="preserve">overnmental </w:t>
      </w:r>
      <w:r w:rsidR="00234820">
        <w:rPr>
          <w:b w:val="0"/>
          <w:bCs/>
        </w:rPr>
        <w:t>l</w:t>
      </w:r>
      <w:r w:rsidRPr="00450500">
        <w:rPr>
          <w:b w:val="0"/>
          <w:bCs/>
        </w:rPr>
        <w:t>ighting</w:t>
      </w:r>
      <w:r w:rsidR="00AB5E9B">
        <w:rPr>
          <w:b w:val="0"/>
          <w:bCs/>
        </w:rPr>
        <w:t>,</w:t>
      </w:r>
      <w:r w:rsidRPr="00450500">
        <w:rPr>
          <w:b w:val="0"/>
          <w:bCs/>
        </w:rPr>
        <w:t xml:space="preserve"> and MARTA. Understanding what is happening in the forecasts for each class provides insight into the total territorial forecast. The forecasts for each of these classes are discussed in the sections below.</w:t>
      </w:r>
    </w:p>
    <w:p w14:paraId="00176A64" w14:textId="740A5ABB" w:rsidR="002F10FE" w:rsidRDefault="002F10FE" w:rsidP="002F10FE">
      <w:pPr>
        <w:pStyle w:val="BodyTextIndent"/>
        <w:keepNext/>
        <w:ind w:left="0"/>
        <w:jc w:val="left"/>
        <w:rPr>
          <w:b/>
        </w:rPr>
      </w:pPr>
      <w:bookmarkStart w:id="143" w:name="_Toc347120353"/>
      <w:r w:rsidRPr="00B6445B">
        <w:rPr>
          <w:b/>
        </w:rPr>
        <w:lastRenderedPageBreak/>
        <w:t>Figure 1.</w:t>
      </w:r>
      <w:r>
        <w:rPr>
          <w:b/>
        </w:rPr>
        <w:t>2</w:t>
      </w:r>
      <w:r w:rsidR="008E7B16">
        <w:rPr>
          <w:b/>
        </w:rPr>
        <w:t>.1</w:t>
      </w:r>
      <w:r w:rsidRPr="00B6445B">
        <w:rPr>
          <w:b/>
        </w:rPr>
        <w:t>-</w:t>
      </w:r>
      <w:r>
        <w:rPr>
          <w:b/>
        </w:rPr>
        <w:t>1</w:t>
      </w:r>
      <w:r w:rsidRPr="00B6445B">
        <w:rPr>
          <w:b/>
        </w:rPr>
        <w:t xml:space="preserve">: </w:t>
      </w:r>
      <w:r w:rsidRPr="00962A18">
        <w:rPr>
          <w:b/>
        </w:rPr>
        <w:t xml:space="preserve">Territorial Energy </w:t>
      </w:r>
      <w:r w:rsidR="00D02073">
        <w:rPr>
          <w:b/>
        </w:rPr>
        <w:t>Forecast</w:t>
      </w:r>
    </w:p>
    <w:p w14:paraId="1D5937BA" w14:textId="6D5AF763" w:rsidR="002F10FE" w:rsidRDefault="006A3A7F" w:rsidP="002F10FE">
      <w:pPr>
        <w:pStyle w:val="BodyTextIndent"/>
        <w:keepNext/>
        <w:ind w:left="0"/>
        <w:jc w:val="left"/>
        <w:rPr>
          <w:b/>
        </w:rPr>
      </w:pPr>
      <w:r w:rsidRPr="006A3A7F">
        <w:rPr>
          <w:b/>
          <w:noProof/>
        </w:rPr>
        <w:drawing>
          <wp:inline distT="0" distB="0" distL="0" distR="0" wp14:anchorId="4E14E21C" wp14:editId="1662CF0F">
            <wp:extent cx="5824855" cy="3340959"/>
            <wp:effectExtent l="0" t="0" r="4445" b="0"/>
            <wp:docPr id="19295754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42903" cy="3351311"/>
                    </a:xfrm>
                    <a:prstGeom prst="rect">
                      <a:avLst/>
                    </a:prstGeom>
                    <a:noFill/>
                    <a:ln>
                      <a:noFill/>
                    </a:ln>
                  </pic:spPr>
                </pic:pic>
              </a:graphicData>
            </a:graphic>
          </wp:inline>
        </w:drawing>
      </w:r>
    </w:p>
    <w:p w14:paraId="02BB934C" w14:textId="74323F88" w:rsidR="002F10FE" w:rsidRDefault="002F10FE" w:rsidP="00450500">
      <w:pPr>
        <w:pStyle w:val="BodyTextIndent"/>
        <w:keepNext/>
        <w:spacing w:after="0"/>
        <w:ind w:left="0"/>
        <w:jc w:val="left"/>
        <w:rPr>
          <w:noProof/>
        </w:rPr>
      </w:pPr>
    </w:p>
    <w:p w14:paraId="53360D1B" w14:textId="038CC9AE" w:rsidR="002F10FE" w:rsidRDefault="002F10FE" w:rsidP="00450500">
      <w:pPr>
        <w:pStyle w:val="BodyTextIndent"/>
        <w:keepNext/>
        <w:spacing w:after="0"/>
        <w:ind w:left="0"/>
        <w:jc w:val="left"/>
      </w:pPr>
    </w:p>
    <w:p w14:paraId="5F181AE8" w14:textId="5F6F99CD" w:rsidR="00B02E86" w:rsidRDefault="00B02E86" w:rsidP="00B02E86">
      <w:pPr>
        <w:pStyle w:val="Heading2"/>
        <w:jc w:val="left"/>
        <w:rPr>
          <w:rFonts w:ascii="Arial" w:hAnsi="Arial" w:cs="Arial"/>
          <w:b/>
          <w:color w:val="auto"/>
          <w:sz w:val="20"/>
          <w:szCs w:val="20"/>
        </w:rPr>
      </w:pPr>
      <w:bookmarkStart w:id="144" w:name="_Toc188257118"/>
      <w:bookmarkStart w:id="145" w:name="_Toc188257333"/>
      <w:bookmarkStart w:id="146" w:name="_Toc188257557"/>
      <w:bookmarkStart w:id="147" w:name="_Toc189162566"/>
      <w:r w:rsidRPr="00B02E86">
        <w:rPr>
          <w:rFonts w:ascii="Arial" w:hAnsi="Arial" w:cs="Arial"/>
          <w:b/>
          <w:color w:val="auto"/>
          <w:sz w:val="20"/>
          <w:szCs w:val="20"/>
        </w:rPr>
        <w:t>1.2.</w:t>
      </w:r>
      <w:r w:rsidR="00D02073">
        <w:rPr>
          <w:rFonts w:ascii="Arial" w:hAnsi="Arial" w:cs="Arial"/>
          <w:b/>
          <w:color w:val="auto"/>
          <w:sz w:val="20"/>
          <w:szCs w:val="20"/>
        </w:rPr>
        <w:t>2</w:t>
      </w:r>
      <w:r w:rsidRPr="00B02E86">
        <w:rPr>
          <w:rFonts w:ascii="Arial" w:hAnsi="Arial" w:cs="Arial"/>
          <w:b/>
          <w:color w:val="auto"/>
          <w:sz w:val="20"/>
          <w:szCs w:val="20"/>
        </w:rPr>
        <w:t xml:space="preserve"> </w:t>
      </w:r>
      <w:r w:rsidR="00775830">
        <w:rPr>
          <w:rFonts w:ascii="Arial" w:hAnsi="Arial" w:cs="Arial"/>
          <w:b/>
          <w:color w:val="auto"/>
          <w:sz w:val="20"/>
          <w:szCs w:val="20"/>
        </w:rPr>
        <w:tab/>
      </w:r>
      <w:r w:rsidRPr="00B02E86">
        <w:rPr>
          <w:rFonts w:ascii="Arial" w:hAnsi="Arial" w:cs="Arial"/>
          <w:b/>
          <w:color w:val="auto"/>
          <w:sz w:val="20"/>
          <w:szCs w:val="20"/>
        </w:rPr>
        <w:t>Residential</w:t>
      </w:r>
      <w:bookmarkEnd w:id="143"/>
      <w:bookmarkEnd w:id="144"/>
      <w:bookmarkEnd w:id="145"/>
      <w:bookmarkEnd w:id="146"/>
      <w:bookmarkEnd w:id="147"/>
    </w:p>
    <w:p w14:paraId="6E96BD83" w14:textId="77777777" w:rsidR="001900C7" w:rsidRDefault="001900C7" w:rsidP="00966D80">
      <w:pPr>
        <w:pStyle w:val="BodyText"/>
        <w:spacing w:line="360" w:lineRule="auto"/>
        <w:jc w:val="both"/>
        <w:rPr>
          <w:b w:val="0"/>
        </w:rPr>
      </w:pPr>
    </w:p>
    <w:p w14:paraId="6A20CDB6" w14:textId="6D7CB4CE" w:rsidR="00B02E86" w:rsidRDefault="00474F92" w:rsidP="00497814">
      <w:pPr>
        <w:pStyle w:val="BodyText"/>
        <w:spacing w:after="0" w:line="360" w:lineRule="auto"/>
        <w:jc w:val="both"/>
        <w:rPr>
          <w:b w:val="0"/>
        </w:rPr>
      </w:pPr>
      <w:r>
        <w:rPr>
          <w:b w:val="0"/>
        </w:rPr>
        <w:t xml:space="preserve">Over the </w:t>
      </w:r>
      <w:r w:rsidR="00083190">
        <w:rPr>
          <w:b w:val="0"/>
        </w:rPr>
        <w:t>2013</w:t>
      </w:r>
      <w:r>
        <w:rPr>
          <w:b w:val="0"/>
        </w:rPr>
        <w:t>-</w:t>
      </w:r>
      <w:r w:rsidR="00083190">
        <w:rPr>
          <w:b w:val="0"/>
        </w:rPr>
        <w:t xml:space="preserve">2023 </w:t>
      </w:r>
      <w:r>
        <w:rPr>
          <w:b w:val="0"/>
        </w:rPr>
        <w:t xml:space="preserve">historical period, </w:t>
      </w:r>
      <w:r w:rsidR="002F741C">
        <w:rPr>
          <w:b w:val="0"/>
        </w:rPr>
        <w:t>r</w:t>
      </w:r>
      <w:r>
        <w:rPr>
          <w:b w:val="0"/>
        </w:rPr>
        <w:t xml:space="preserve">esidential sales grew </w:t>
      </w:r>
      <w:r w:rsidR="000F516D">
        <w:rPr>
          <w:b w:val="0"/>
        </w:rPr>
        <w:t>by</w:t>
      </w:r>
      <w:r w:rsidR="006E033B">
        <w:rPr>
          <w:b w:val="0"/>
        </w:rPr>
        <w:t xml:space="preserve"> </w:t>
      </w:r>
      <w:r w:rsidR="000F516D">
        <w:rPr>
          <w:b w:val="0"/>
        </w:rPr>
        <w:t xml:space="preserve">an </w:t>
      </w:r>
      <w:r w:rsidR="006E033B">
        <w:rPr>
          <w:b w:val="0"/>
        </w:rPr>
        <w:t xml:space="preserve">average rate of </w:t>
      </w:r>
      <w:r w:rsidR="00083190">
        <w:rPr>
          <w:b w:val="0"/>
        </w:rPr>
        <w:t xml:space="preserve">254 </w:t>
      </w:r>
      <w:r w:rsidR="006E033B">
        <w:rPr>
          <w:b w:val="0"/>
        </w:rPr>
        <w:t>GWh</w:t>
      </w:r>
      <w:r w:rsidR="000F516D">
        <w:rPr>
          <w:b w:val="0"/>
        </w:rPr>
        <w:t xml:space="preserve"> per year</w:t>
      </w:r>
      <w:r w:rsidR="006E033B">
        <w:rPr>
          <w:b w:val="0"/>
        </w:rPr>
        <w:t>. The B</w:t>
      </w:r>
      <w:r w:rsidR="00651C74">
        <w:rPr>
          <w:b w:val="0"/>
        </w:rPr>
        <w:t>udget 2022</w:t>
      </w:r>
      <w:r w:rsidR="006E033B">
        <w:rPr>
          <w:b w:val="0"/>
        </w:rPr>
        <w:t xml:space="preserve"> forecast</w:t>
      </w:r>
      <w:r w:rsidR="00842880">
        <w:rPr>
          <w:b w:val="0"/>
        </w:rPr>
        <w:t>, which</w:t>
      </w:r>
      <w:r w:rsidR="006E033B">
        <w:rPr>
          <w:b w:val="0"/>
        </w:rPr>
        <w:t xml:space="preserve"> was completed during the pandemic, </w:t>
      </w:r>
      <w:r w:rsidR="00446E40">
        <w:rPr>
          <w:b w:val="0"/>
        </w:rPr>
        <w:t xml:space="preserve">had lower growth </w:t>
      </w:r>
      <w:r w:rsidR="00842880">
        <w:rPr>
          <w:b w:val="0"/>
        </w:rPr>
        <w:t xml:space="preserve">due to uncertainty </w:t>
      </w:r>
      <w:r w:rsidR="006E033B">
        <w:rPr>
          <w:b w:val="0"/>
        </w:rPr>
        <w:t xml:space="preserve">about how quickly the economy and electricity sales would recover. </w:t>
      </w:r>
      <w:r w:rsidR="00BD2182">
        <w:rPr>
          <w:b w:val="0"/>
        </w:rPr>
        <w:t>Since that time, residential sales have gotten a boost from customer growth</w:t>
      </w:r>
      <w:r w:rsidR="00DC2902">
        <w:rPr>
          <w:b w:val="0"/>
        </w:rPr>
        <w:t xml:space="preserve">, adding </w:t>
      </w:r>
      <w:r w:rsidR="00EE3AE5">
        <w:rPr>
          <w:b w:val="0"/>
        </w:rPr>
        <w:t xml:space="preserve">nearly </w:t>
      </w:r>
      <w:r w:rsidR="00DC2902">
        <w:rPr>
          <w:b w:val="0"/>
        </w:rPr>
        <w:t>4</w:t>
      </w:r>
      <w:r w:rsidR="00EE3AE5">
        <w:rPr>
          <w:b w:val="0"/>
        </w:rPr>
        <w:t>0</w:t>
      </w:r>
      <w:r w:rsidR="00DC2902">
        <w:rPr>
          <w:b w:val="0"/>
        </w:rPr>
        <w:t xml:space="preserve">,000 </w:t>
      </w:r>
      <w:r w:rsidR="00D8203B">
        <w:rPr>
          <w:b w:val="0"/>
        </w:rPr>
        <w:t xml:space="preserve">customers </w:t>
      </w:r>
      <w:r w:rsidR="00DC2902">
        <w:rPr>
          <w:b w:val="0"/>
        </w:rPr>
        <w:t xml:space="preserve">per year </w:t>
      </w:r>
      <w:r w:rsidR="00EE3AE5">
        <w:rPr>
          <w:b w:val="0"/>
        </w:rPr>
        <w:t xml:space="preserve">since 2021. </w:t>
      </w:r>
      <w:r w:rsidR="00077E15">
        <w:rPr>
          <w:b w:val="0"/>
        </w:rPr>
        <w:t xml:space="preserve">In Budget 2025, </w:t>
      </w:r>
      <w:r w:rsidR="00EE3AE5">
        <w:rPr>
          <w:b w:val="0"/>
        </w:rPr>
        <w:t xml:space="preserve">residential sales </w:t>
      </w:r>
      <w:r w:rsidR="00077E15">
        <w:rPr>
          <w:b w:val="0"/>
        </w:rPr>
        <w:t xml:space="preserve">are expected to grow by </w:t>
      </w:r>
      <w:r w:rsidR="00D8203B">
        <w:rPr>
          <w:b w:val="0"/>
        </w:rPr>
        <w:t>400</w:t>
      </w:r>
      <w:r w:rsidR="00077E15">
        <w:rPr>
          <w:b w:val="0"/>
        </w:rPr>
        <w:t xml:space="preserve"> GWh per year over the next 10 years, </w:t>
      </w:r>
      <w:r w:rsidR="006E5C35">
        <w:rPr>
          <w:b w:val="0"/>
        </w:rPr>
        <w:t xml:space="preserve">driven </w:t>
      </w:r>
      <w:r w:rsidR="00446E40">
        <w:rPr>
          <w:b w:val="0"/>
        </w:rPr>
        <w:t xml:space="preserve">by </w:t>
      </w:r>
      <w:r w:rsidR="000820B0">
        <w:rPr>
          <w:b w:val="0"/>
        </w:rPr>
        <w:t>robust</w:t>
      </w:r>
      <w:r w:rsidR="00446E40">
        <w:rPr>
          <w:b w:val="0"/>
        </w:rPr>
        <w:t xml:space="preserve"> </w:t>
      </w:r>
      <w:r w:rsidR="00B17684">
        <w:rPr>
          <w:b w:val="0"/>
        </w:rPr>
        <w:t xml:space="preserve">growth in </w:t>
      </w:r>
      <w:r w:rsidR="00446E40">
        <w:rPr>
          <w:b w:val="0"/>
        </w:rPr>
        <w:t>customer</w:t>
      </w:r>
      <w:r w:rsidR="00B17684">
        <w:rPr>
          <w:b w:val="0"/>
        </w:rPr>
        <w:t>s</w:t>
      </w:r>
      <w:r w:rsidR="00F068B9">
        <w:rPr>
          <w:b w:val="0"/>
        </w:rPr>
        <w:t xml:space="preserve"> and expected growth in electric vehicle</w:t>
      </w:r>
      <w:r w:rsidR="00D75A51">
        <w:rPr>
          <w:b w:val="0"/>
        </w:rPr>
        <w:t xml:space="preserve"> adoption</w:t>
      </w:r>
      <w:r w:rsidR="00B17684">
        <w:rPr>
          <w:b w:val="0"/>
        </w:rPr>
        <w:t>.</w:t>
      </w:r>
      <w:r w:rsidR="00B02E86" w:rsidRPr="00B02E86">
        <w:rPr>
          <w:b w:val="0"/>
        </w:rPr>
        <w:t xml:space="preserve"> </w:t>
      </w:r>
    </w:p>
    <w:p w14:paraId="6E37267E" w14:textId="77777777" w:rsidR="00BA0A4C" w:rsidRDefault="00BA0A4C" w:rsidP="00F04B4B">
      <w:pPr>
        <w:pStyle w:val="BodyText"/>
        <w:spacing w:after="0" w:line="360" w:lineRule="auto"/>
        <w:jc w:val="both"/>
        <w:rPr>
          <w:b w:val="0"/>
        </w:rPr>
      </w:pPr>
    </w:p>
    <w:p w14:paraId="5ABFBBF5" w14:textId="2278EC52" w:rsidR="00BA0A4C" w:rsidRPr="00BA0A4C" w:rsidRDefault="00BA0A4C" w:rsidP="00966D80">
      <w:pPr>
        <w:pStyle w:val="BodyText"/>
        <w:spacing w:line="360" w:lineRule="auto"/>
        <w:jc w:val="both"/>
        <w:rPr>
          <w:b w:val="0"/>
          <w:bCs/>
        </w:rPr>
      </w:pPr>
      <w:r w:rsidRPr="00F04B4B">
        <w:rPr>
          <w:b w:val="0"/>
          <w:bCs/>
        </w:rPr>
        <w:t>Since the new</w:t>
      </w:r>
      <w:r w:rsidRPr="00F04B4B" w:rsidDel="00194681">
        <w:rPr>
          <w:b w:val="0"/>
          <w:bCs/>
        </w:rPr>
        <w:t xml:space="preserve"> </w:t>
      </w:r>
      <w:r w:rsidRPr="00F04B4B">
        <w:rPr>
          <w:b w:val="0"/>
          <w:bCs/>
        </w:rPr>
        <w:t xml:space="preserve">large load activity only impacts the </w:t>
      </w:r>
      <w:r w:rsidR="00234820">
        <w:rPr>
          <w:b w:val="0"/>
          <w:bCs/>
        </w:rPr>
        <w:t>c</w:t>
      </w:r>
      <w:r w:rsidRPr="00F04B4B">
        <w:rPr>
          <w:b w:val="0"/>
          <w:bCs/>
        </w:rPr>
        <w:t xml:space="preserve">ommercial and </w:t>
      </w:r>
      <w:r w:rsidR="00234820">
        <w:rPr>
          <w:b w:val="0"/>
          <w:bCs/>
        </w:rPr>
        <w:t>i</w:t>
      </w:r>
      <w:r w:rsidRPr="00F04B4B">
        <w:rPr>
          <w:b w:val="0"/>
          <w:bCs/>
        </w:rPr>
        <w:t xml:space="preserve">ndustrial classes, there is no additional external adjustment needed or applied to the baseline </w:t>
      </w:r>
      <w:r w:rsidR="00234820">
        <w:rPr>
          <w:b w:val="0"/>
          <w:bCs/>
        </w:rPr>
        <w:t>r</w:t>
      </w:r>
      <w:r w:rsidRPr="00F04B4B">
        <w:rPr>
          <w:b w:val="0"/>
          <w:bCs/>
        </w:rPr>
        <w:t xml:space="preserve">esidential, </w:t>
      </w:r>
      <w:r w:rsidR="00234820">
        <w:rPr>
          <w:b w:val="0"/>
          <w:bCs/>
        </w:rPr>
        <w:t>g</w:t>
      </w:r>
      <w:r w:rsidRPr="00F04B4B">
        <w:rPr>
          <w:b w:val="0"/>
          <w:bCs/>
        </w:rPr>
        <w:t xml:space="preserve">overnmental </w:t>
      </w:r>
      <w:r w:rsidR="00234820">
        <w:rPr>
          <w:b w:val="0"/>
          <w:bCs/>
        </w:rPr>
        <w:t>l</w:t>
      </w:r>
      <w:r w:rsidRPr="00F04B4B">
        <w:rPr>
          <w:b w:val="0"/>
          <w:bCs/>
        </w:rPr>
        <w:t>ighting</w:t>
      </w:r>
      <w:r w:rsidR="009B6E10">
        <w:rPr>
          <w:b w:val="0"/>
          <w:bCs/>
        </w:rPr>
        <w:t>,</w:t>
      </w:r>
      <w:r w:rsidRPr="00F04B4B">
        <w:rPr>
          <w:b w:val="0"/>
          <w:bCs/>
        </w:rPr>
        <w:t xml:space="preserve"> and MARTA classes.</w:t>
      </w:r>
    </w:p>
    <w:p w14:paraId="2B1EFDF6" w14:textId="77777777" w:rsidR="00B02E86" w:rsidRDefault="00B02E86" w:rsidP="009D6CFA">
      <w:pPr>
        <w:pStyle w:val="BodyText"/>
        <w:spacing w:line="360" w:lineRule="auto"/>
        <w:jc w:val="both"/>
      </w:pPr>
    </w:p>
    <w:p w14:paraId="5F019C9C" w14:textId="631931E8" w:rsidR="00CA4BBD" w:rsidRDefault="00B02E86" w:rsidP="00CA4BBD">
      <w:pPr>
        <w:pStyle w:val="BodyTextIndent"/>
        <w:keepNext/>
        <w:ind w:left="0"/>
        <w:jc w:val="left"/>
        <w:rPr>
          <w:b/>
        </w:rPr>
      </w:pPr>
      <w:r w:rsidRPr="00B6445B">
        <w:rPr>
          <w:b/>
        </w:rPr>
        <w:lastRenderedPageBreak/>
        <w:t>Figure 1.2.</w:t>
      </w:r>
      <w:r w:rsidR="00D02073">
        <w:rPr>
          <w:b/>
        </w:rPr>
        <w:t>2</w:t>
      </w:r>
      <w:r w:rsidRPr="00B6445B">
        <w:rPr>
          <w:b/>
        </w:rPr>
        <w:t xml:space="preserve">-1 </w:t>
      </w:r>
      <w:r w:rsidRPr="005B54E1">
        <w:rPr>
          <w:b/>
        </w:rPr>
        <w:t>Residential Energy Forecast</w:t>
      </w:r>
    </w:p>
    <w:p w14:paraId="07578331" w14:textId="77777777" w:rsidR="00E64B47" w:rsidRDefault="00E64B47" w:rsidP="00CA4BBD">
      <w:pPr>
        <w:pStyle w:val="BodyTextIndent"/>
        <w:keepNext/>
        <w:ind w:left="0"/>
        <w:jc w:val="left"/>
        <w:rPr>
          <w:b/>
        </w:rPr>
      </w:pPr>
    </w:p>
    <w:p w14:paraId="5BE1E922" w14:textId="5B506DAE" w:rsidR="00054999" w:rsidRDefault="0000705E" w:rsidP="00CA4BBD">
      <w:pPr>
        <w:pStyle w:val="BodyTextIndent"/>
        <w:keepNext/>
        <w:ind w:left="0"/>
        <w:jc w:val="left"/>
        <w:rPr>
          <w:b/>
        </w:rPr>
      </w:pPr>
      <w:r w:rsidRPr="0000705E">
        <w:rPr>
          <w:b/>
          <w:noProof/>
        </w:rPr>
        <w:drawing>
          <wp:inline distT="0" distB="0" distL="0" distR="0" wp14:anchorId="30EB029C" wp14:editId="6E195683">
            <wp:extent cx="5824855" cy="3347085"/>
            <wp:effectExtent l="0" t="0" r="4445" b="5715"/>
            <wp:docPr id="140562146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24855" cy="3347085"/>
                    </a:xfrm>
                    <a:prstGeom prst="rect">
                      <a:avLst/>
                    </a:prstGeom>
                    <a:noFill/>
                    <a:ln>
                      <a:noFill/>
                    </a:ln>
                  </pic:spPr>
                </pic:pic>
              </a:graphicData>
            </a:graphic>
          </wp:inline>
        </w:drawing>
      </w:r>
    </w:p>
    <w:p w14:paraId="04B99CBD" w14:textId="2E6516DA" w:rsidR="00B02E86" w:rsidRDefault="00B02E86" w:rsidP="00F56353">
      <w:pPr>
        <w:pStyle w:val="BodyTextIndent"/>
        <w:keepNext/>
        <w:spacing w:after="0"/>
        <w:ind w:left="0"/>
        <w:jc w:val="left"/>
      </w:pPr>
    </w:p>
    <w:p w14:paraId="7FC097AC" w14:textId="1A87ACC7" w:rsidR="00381928" w:rsidRDefault="00381928" w:rsidP="00BB1129">
      <w:bookmarkStart w:id="148" w:name="_Toc503665678"/>
      <w:bookmarkStart w:id="149" w:name="_Toc111952980"/>
      <w:bookmarkStart w:id="150" w:name="_Toc347120355"/>
    </w:p>
    <w:p w14:paraId="495DA690" w14:textId="21C3BDFA" w:rsidR="00B02E86" w:rsidRPr="00567978" w:rsidRDefault="00B02E86" w:rsidP="00567978">
      <w:pPr>
        <w:pStyle w:val="Heading2"/>
        <w:jc w:val="left"/>
        <w:rPr>
          <w:rFonts w:ascii="Arial" w:hAnsi="Arial" w:cs="Arial"/>
          <w:b/>
          <w:bCs w:val="0"/>
          <w:color w:val="auto"/>
          <w:sz w:val="20"/>
          <w:szCs w:val="20"/>
        </w:rPr>
      </w:pPr>
      <w:bookmarkStart w:id="151" w:name="_Toc188257119"/>
      <w:bookmarkStart w:id="152" w:name="_Toc188257334"/>
      <w:bookmarkStart w:id="153" w:name="_Toc188257558"/>
      <w:bookmarkStart w:id="154" w:name="_Toc189162567"/>
      <w:r w:rsidRPr="00567978">
        <w:rPr>
          <w:rFonts w:ascii="Arial" w:hAnsi="Arial" w:cs="Arial"/>
          <w:b/>
          <w:bCs w:val="0"/>
          <w:color w:val="auto"/>
          <w:sz w:val="20"/>
          <w:szCs w:val="20"/>
        </w:rPr>
        <w:t>1.2.</w:t>
      </w:r>
      <w:r w:rsidR="00D02073" w:rsidRPr="00567978">
        <w:rPr>
          <w:rFonts w:ascii="Arial" w:hAnsi="Arial" w:cs="Arial"/>
          <w:b/>
          <w:bCs w:val="0"/>
          <w:color w:val="auto"/>
          <w:sz w:val="20"/>
          <w:szCs w:val="20"/>
        </w:rPr>
        <w:t>3</w:t>
      </w:r>
      <w:r w:rsidRPr="00567978">
        <w:rPr>
          <w:rFonts w:ascii="Arial" w:hAnsi="Arial" w:cs="Arial"/>
          <w:b/>
          <w:bCs w:val="0"/>
          <w:color w:val="auto"/>
          <w:sz w:val="20"/>
          <w:szCs w:val="20"/>
        </w:rPr>
        <w:t xml:space="preserve"> </w:t>
      </w:r>
      <w:r w:rsidR="00775830">
        <w:rPr>
          <w:rFonts w:ascii="Arial" w:hAnsi="Arial" w:cs="Arial"/>
          <w:b/>
          <w:bCs w:val="0"/>
          <w:color w:val="auto"/>
          <w:sz w:val="20"/>
          <w:szCs w:val="20"/>
        </w:rPr>
        <w:tab/>
      </w:r>
      <w:r w:rsidRPr="00567978">
        <w:rPr>
          <w:rFonts w:ascii="Arial" w:hAnsi="Arial" w:cs="Arial"/>
          <w:b/>
          <w:bCs w:val="0"/>
          <w:color w:val="auto"/>
          <w:sz w:val="20"/>
          <w:szCs w:val="20"/>
        </w:rPr>
        <w:t>Commercial</w:t>
      </w:r>
      <w:bookmarkEnd w:id="148"/>
      <w:bookmarkEnd w:id="149"/>
      <w:bookmarkEnd w:id="150"/>
      <w:bookmarkEnd w:id="151"/>
      <w:bookmarkEnd w:id="152"/>
      <w:bookmarkEnd w:id="153"/>
      <w:bookmarkEnd w:id="154"/>
    </w:p>
    <w:p w14:paraId="28CBB602" w14:textId="77777777" w:rsidR="00B02E86" w:rsidRDefault="00B02E86" w:rsidP="00BB1129">
      <w:pPr>
        <w:pStyle w:val="BodyText"/>
        <w:keepNext/>
        <w:widowControl w:val="0"/>
        <w:jc w:val="left"/>
        <w:rPr>
          <w:b w:val="0"/>
        </w:rPr>
      </w:pPr>
    </w:p>
    <w:p w14:paraId="08379F49" w14:textId="6BA21455" w:rsidR="00B02E86" w:rsidRDefault="00137A64" w:rsidP="000C65EF">
      <w:pPr>
        <w:pStyle w:val="BodyTextIndent"/>
        <w:spacing w:after="0" w:line="360" w:lineRule="auto"/>
        <w:ind w:left="0"/>
        <w:jc w:val="both"/>
      </w:pPr>
      <w:r w:rsidRPr="000C6B19">
        <w:t>From</w:t>
      </w:r>
      <w:r w:rsidR="00984869" w:rsidRPr="000C6B19">
        <w:t xml:space="preserve"> </w:t>
      </w:r>
      <w:r w:rsidR="001900C7" w:rsidRPr="000C6B19">
        <w:t>20</w:t>
      </w:r>
      <w:r w:rsidR="001900C7">
        <w:t>13</w:t>
      </w:r>
      <w:r w:rsidRPr="000C6B19">
        <w:t>-</w:t>
      </w:r>
      <w:r w:rsidR="001900C7" w:rsidRPr="000C6B19">
        <w:t>20</w:t>
      </w:r>
      <w:r w:rsidR="001900C7">
        <w:t>23</w:t>
      </w:r>
      <w:r w:rsidR="00984869" w:rsidRPr="000C6B19">
        <w:t xml:space="preserve">, </w:t>
      </w:r>
      <w:r w:rsidRPr="000C6B19">
        <w:t xml:space="preserve">average annual growth in </w:t>
      </w:r>
      <w:r w:rsidR="00984869" w:rsidRPr="000C6B19">
        <w:t>commercial sales</w:t>
      </w:r>
      <w:r w:rsidR="003E7C4C" w:rsidRPr="000C6B19">
        <w:t xml:space="preserve"> </w:t>
      </w:r>
      <w:r w:rsidR="00BA0A4C">
        <w:t>rose slightly, increasing</w:t>
      </w:r>
      <w:r w:rsidR="00077E15">
        <w:t xml:space="preserve"> </w:t>
      </w:r>
      <w:r w:rsidR="00BA0A4C">
        <w:t>by an average of 54 GWh per year due in part to energy efficiency partially offsetting the impacts of customer growth.</w:t>
      </w:r>
      <w:r w:rsidR="003E7C4C" w:rsidRPr="000C6B19">
        <w:t xml:space="preserve"> </w:t>
      </w:r>
      <w:r w:rsidR="00B02E86" w:rsidRPr="000C6B19">
        <w:t xml:space="preserve">Budget </w:t>
      </w:r>
      <w:r w:rsidR="00D02073" w:rsidRPr="000C6B19">
        <w:t>202</w:t>
      </w:r>
      <w:r w:rsidR="00A926F6" w:rsidRPr="000C6B19">
        <w:t>2</w:t>
      </w:r>
      <w:r w:rsidR="00D02073" w:rsidRPr="000C6B19">
        <w:t xml:space="preserve"> </w:t>
      </w:r>
      <w:r w:rsidR="003E7C4C" w:rsidRPr="000C6B19">
        <w:t>project</w:t>
      </w:r>
      <w:r w:rsidR="002D0EC3">
        <w:t>ed</w:t>
      </w:r>
      <w:r w:rsidR="003E7C4C" w:rsidRPr="000C6B19">
        <w:t xml:space="preserve"> </w:t>
      </w:r>
      <w:r w:rsidR="002D0EC3">
        <w:t xml:space="preserve">modest </w:t>
      </w:r>
      <w:r w:rsidR="003E7C4C" w:rsidRPr="000C6B19">
        <w:t xml:space="preserve">annual </w:t>
      </w:r>
      <w:r w:rsidR="00FE56CA">
        <w:t>increas</w:t>
      </w:r>
      <w:r w:rsidR="003E7C4C" w:rsidRPr="000C6B19">
        <w:t xml:space="preserve">es </w:t>
      </w:r>
      <w:r w:rsidR="002D0EC3">
        <w:t>through 203</w:t>
      </w:r>
      <w:r w:rsidR="00FE56CA">
        <w:t>4</w:t>
      </w:r>
      <w:r w:rsidR="002D0EC3">
        <w:t xml:space="preserve"> </w:t>
      </w:r>
      <w:r w:rsidR="00FE56CA">
        <w:t>of 47 GWh per year</w:t>
      </w:r>
      <w:r w:rsidR="005705DC">
        <w:t>,</w:t>
      </w:r>
      <w:r w:rsidR="00234820">
        <w:t xml:space="preserve"> </w:t>
      </w:r>
      <w:r w:rsidR="003E7C4C" w:rsidRPr="000C6B19">
        <w:t>before growth pick</w:t>
      </w:r>
      <w:r w:rsidR="002D0EC3">
        <w:t>ed</w:t>
      </w:r>
      <w:r w:rsidR="003E7C4C" w:rsidRPr="000C6B19">
        <w:t xml:space="preserve"> up </w:t>
      </w:r>
      <w:r w:rsidR="002D0EC3">
        <w:t xml:space="preserve">slightly </w:t>
      </w:r>
      <w:r w:rsidR="003E7C4C" w:rsidRPr="000C6B19">
        <w:t>in the outer years of the forecast</w:t>
      </w:r>
      <w:r w:rsidR="00FE56CA">
        <w:t xml:space="preserve"> as </w:t>
      </w:r>
      <w:r w:rsidR="00AB6632" w:rsidRPr="000C6B19">
        <w:t xml:space="preserve">continued </w:t>
      </w:r>
      <w:r w:rsidR="002D0EC3">
        <w:t>improvements</w:t>
      </w:r>
      <w:r w:rsidR="002D0EC3" w:rsidRPr="000C6B19">
        <w:t xml:space="preserve"> </w:t>
      </w:r>
      <w:r w:rsidR="00AB6632" w:rsidRPr="000C6B19">
        <w:t>in</w:t>
      </w:r>
      <w:r w:rsidR="001A0C0E" w:rsidRPr="000C6B19">
        <w:t xml:space="preserve"> energy</w:t>
      </w:r>
      <w:r w:rsidR="00485CDC" w:rsidRPr="000C6B19">
        <w:t xml:space="preserve"> efficienc</w:t>
      </w:r>
      <w:r w:rsidR="001A0C0E" w:rsidRPr="000C6B19">
        <w:t>y</w:t>
      </w:r>
      <w:r w:rsidR="00FE56CA">
        <w:t xml:space="preserve"> </w:t>
      </w:r>
      <w:r w:rsidR="002D0EC3">
        <w:t>w</w:t>
      </w:r>
      <w:r w:rsidR="0076436D">
        <w:t>ere</w:t>
      </w:r>
      <w:r w:rsidR="00C67BE5" w:rsidRPr="000C6B19">
        <w:t xml:space="preserve"> </w:t>
      </w:r>
      <w:r w:rsidR="00FE56CA">
        <w:t xml:space="preserve">offset by </w:t>
      </w:r>
      <w:r w:rsidR="00C67BE5" w:rsidRPr="000C6B19">
        <w:t xml:space="preserve">expected growth in commercial square footage and electric vehicles. </w:t>
      </w:r>
    </w:p>
    <w:p w14:paraId="601A533D" w14:textId="77777777" w:rsidR="00234820" w:rsidRDefault="00234820" w:rsidP="003525F6">
      <w:pPr>
        <w:pStyle w:val="BodyTextIndent"/>
        <w:spacing w:after="0" w:line="360" w:lineRule="auto"/>
        <w:ind w:left="0"/>
        <w:jc w:val="both"/>
      </w:pPr>
    </w:p>
    <w:p w14:paraId="0F52A412" w14:textId="3C1BDCD1" w:rsidR="002D0EC3" w:rsidRDefault="002D0EC3" w:rsidP="00F37679">
      <w:pPr>
        <w:pStyle w:val="BodyTextIndent"/>
        <w:spacing w:line="360" w:lineRule="auto"/>
        <w:ind w:left="0"/>
        <w:jc w:val="both"/>
      </w:pPr>
      <w:r>
        <w:t xml:space="preserve">Budget 2025 and the 2023 IRP </w:t>
      </w:r>
      <w:r w:rsidR="00FE56CA">
        <w:t>U</w:t>
      </w:r>
      <w:r>
        <w:t xml:space="preserve">pdate show large amounts of growth over the forecast horizon as new large loads, in particular data centers, come online. </w:t>
      </w:r>
      <w:r w:rsidR="00D35616">
        <w:t>In Budget 2025, f</w:t>
      </w:r>
      <w:r w:rsidR="00A923CC">
        <w:t>rom</w:t>
      </w:r>
      <w:r w:rsidR="00FE56CA">
        <w:t xml:space="preserve"> 2024-2034, average growth is expected to be more than 6,800 GWh </w:t>
      </w:r>
      <w:r w:rsidR="00361F81">
        <w:t>per year</w:t>
      </w:r>
      <w:r w:rsidR="00FE56CA">
        <w:t xml:space="preserve">, compared to over 4,600 </w:t>
      </w:r>
      <w:r w:rsidR="00C16885">
        <w:t xml:space="preserve">GWh </w:t>
      </w:r>
      <w:r w:rsidR="00361F81">
        <w:t xml:space="preserve">per year </w:t>
      </w:r>
      <w:r w:rsidR="00FE56CA">
        <w:t xml:space="preserve">in the 2023 IRP Update. </w:t>
      </w:r>
      <w:r w:rsidR="00361F81">
        <w:t xml:space="preserve">By 2030, commercial sales are more than double those </w:t>
      </w:r>
      <w:r w:rsidR="00234820">
        <w:t xml:space="preserve">expected </w:t>
      </w:r>
      <w:r w:rsidR="00361F81">
        <w:t xml:space="preserve">in Budget 2022. </w:t>
      </w:r>
      <w:r w:rsidR="00FE56CA">
        <w:t>In the later years of the forecast</w:t>
      </w:r>
      <w:r w:rsidR="00361F81">
        <w:t>, light-duty electric vehicles and the inclusion of medium- and heavy-duty electric vehicles</w:t>
      </w:r>
      <w:r w:rsidR="00FE56CA">
        <w:t xml:space="preserve"> </w:t>
      </w:r>
      <w:r w:rsidR="00361F81">
        <w:t xml:space="preserve">provide </w:t>
      </w:r>
      <w:r w:rsidR="00FE56CA">
        <w:t>a</w:t>
      </w:r>
      <w:r w:rsidR="00361F81">
        <w:t xml:space="preserve"> further </w:t>
      </w:r>
      <w:r w:rsidR="00FE56CA">
        <w:t>boost</w:t>
      </w:r>
      <w:r w:rsidR="00361F81">
        <w:t xml:space="preserve"> to sales.</w:t>
      </w:r>
      <w:r w:rsidR="00616255">
        <w:t xml:space="preserve">  </w:t>
      </w:r>
    </w:p>
    <w:p w14:paraId="416A8819" w14:textId="77777777" w:rsidR="000641B0" w:rsidRPr="00C636EA" w:rsidRDefault="000641B0" w:rsidP="00C636EA">
      <w:pPr>
        <w:pStyle w:val="BodyTextIndent"/>
        <w:spacing w:line="360" w:lineRule="auto"/>
        <w:ind w:left="0"/>
        <w:jc w:val="left"/>
      </w:pPr>
    </w:p>
    <w:p w14:paraId="58E65AC8" w14:textId="3D65C710" w:rsidR="00CA4BBD" w:rsidRDefault="00B02E86" w:rsidP="00CA4BBD">
      <w:pPr>
        <w:pStyle w:val="BodyTextIndent"/>
        <w:keepNext/>
        <w:ind w:left="0"/>
        <w:jc w:val="left"/>
        <w:rPr>
          <w:b/>
        </w:rPr>
      </w:pPr>
      <w:r w:rsidRPr="00B6445B">
        <w:rPr>
          <w:b/>
        </w:rPr>
        <w:lastRenderedPageBreak/>
        <w:t>Figure 1.2.</w:t>
      </w:r>
      <w:r w:rsidR="00D02073">
        <w:rPr>
          <w:b/>
        </w:rPr>
        <w:t>3</w:t>
      </w:r>
      <w:r w:rsidRPr="00B6445B">
        <w:rPr>
          <w:b/>
        </w:rPr>
        <w:t xml:space="preserve">-1: </w:t>
      </w:r>
      <w:r w:rsidRPr="005B54E1">
        <w:rPr>
          <w:b/>
        </w:rPr>
        <w:t>Commercial Energy Forecast</w:t>
      </w:r>
    </w:p>
    <w:p w14:paraId="34017FAB" w14:textId="77777777" w:rsidR="00E64B47" w:rsidRDefault="00E64B47" w:rsidP="00CA4BBD">
      <w:pPr>
        <w:pStyle w:val="BodyTextIndent"/>
        <w:keepNext/>
        <w:ind w:left="0"/>
        <w:jc w:val="left"/>
        <w:rPr>
          <w:b/>
        </w:rPr>
      </w:pPr>
    </w:p>
    <w:p w14:paraId="18358B64" w14:textId="237E4845" w:rsidR="002D6262" w:rsidRDefault="003748DF" w:rsidP="00CA4BBD">
      <w:pPr>
        <w:pStyle w:val="BodyTextIndent"/>
        <w:keepNext/>
        <w:ind w:left="0"/>
        <w:jc w:val="left"/>
        <w:rPr>
          <w:b/>
        </w:rPr>
      </w:pPr>
      <w:r w:rsidRPr="003748DF">
        <w:rPr>
          <w:b/>
          <w:noProof/>
        </w:rPr>
        <w:drawing>
          <wp:inline distT="0" distB="0" distL="0" distR="0" wp14:anchorId="6E2C0F85" wp14:editId="08B1DF3D">
            <wp:extent cx="5824855" cy="3337560"/>
            <wp:effectExtent l="0" t="0" r="4445" b="0"/>
            <wp:docPr id="2701687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24855" cy="3337560"/>
                    </a:xfrm>
                    <a:prstGeom prst="rect">
                      <a:avLst/>
                    </a:prstGeom>
                    <a:noFill/>
                    <a:ln>
                      <a:noFill/>
                    </a:ln>
                  </pic:spPr>
                </pic:pic>
              </a:graphicData>
            </a:graphic>
          </wp:inline>
        </w:drawing>
      </w:r>
    </w:p>
    <w:p w14:paraId="593141E9" w14:textId="6CE8B594" w:rsidR="00B02E86" w:rsidRDefault="00B02E86" w:rsidP="00CA4BBD">
      <w:pPr>
        <w:pStyle w:val="BodyTextIndent"/>
        <w:keepNext/>
        <w:ind w:left="0"/>
        <w:jc w:val="left"/>
      </w:pPr>
    </w:p>
    <w:p w14:paraId="368ADD36" w14:textId="77777777" w:rsidR="00804FAA" w:rsidRDefault="00804FAA" w:rsidP="00CA4BBD">
      <w:pPr>
        <w:pStyle w:val="BodyTextIndent"/>
        <w:keepNext/>
        <w:ind w:left="0"/>
        <w:jc w:val="left"/>
      </w:pPr>
    </w:p>
    <w:p w14:paraId="76D5DCBB" w14:textId="670E3B8A" w:rsidR="00B02E86" w:rsidRPr="00567978" w:rsidRDefault="00B02E86" w:rsidP="00567978">
      <w:pPr>
        <w:pStyle w:val="Heading2"/>
        <w:jc w:val="left"/>
        <w:rPr>
          <w:rFonts w:ascii="Arial" w:hAnsi="Arial" w:cs="Arial"/>
          <w:b/>
          <w:bCs w:val="0"/>
          <w:color w:val="auto"/>
          <w:sz w:val="20"/>
          <w:szCs w:val="20"/>
        </w:rPr>
      </w:pPr>
      <w:bookmarkStart w:id="155" w:name="_Toc347120357"/>
      <w:bookmarkStart w:id="156" w:name="_Toc188257120"/>
      <w:bookmarkStart w:id="157" w:name="_Toc188257335"/>
      <w:bookmarkStart w:id="158" w:name="_Toc188257559"/>
      <w:bookmarkStart w:id="159" w:name="_Toc189162568"/>
      <w:r w:rsidRPr="00567978">
        <w:rPr>
          <w:rFonts w:ascii="Arial" w:hAnsi="Arial" w:cs="Arial"/>
          <w:b/>
          <w:bCs w:val="0"/>
          <w:color w:val="auto"/>
          <w:sz w:val="20"/>
          <w:szCs w:val="20"/>
        </w:rPr>
        <w:t>1.2.</w:t>
      </w:r>
      <w:r w:rsidR="00D02073" w:rsidRPr="00567978">
        <w:rPr>
          <w:rFonts w:ascii="Arial" w:hAnsi="Arial" w:cs="Arial"/>
          <w:b/>
          <w:bCs w:val="0"/>
          <w:color w:val="auto"/>
          <w:sz w:val="20"/>
          <w:szCs w:val="20"/>
        </w:rPr>
        <w:t>4</w:t>
      </w:r>
      <w:r w:rsidR="00082868" w:rsidRPr="00567978">
        <w:rPr>
          <w:rFonts w:ascii="Arial" w:hAnsi="Arial" w:cs="Arial"/>
          <w:b/>
          <w:bCs w:val="0"/>
          <w:color w:val="auto"/>
          <w:sz w:val="20"/>
          <w:szCs w:val="20"/>
        </w:rPr>
        <w:t xml:space="preserve"> </w:t>
      </w:r>
      <w:r w:rsidR="00775830">
        <w:rPr>
          <w:rFonts w:ascii="Arial" w:hAnsi="Arial" w:cs="Arial"/>
          <w:b/>
          <w:bCs w:val="0"/>
          <w:color w:val="auto"/>
          <w:sz w:val="20"/>
          <w:szCs w:val="20"/>
        </w:rPr>
        <w:tab/>
      </w:r>
      <w:r w:rsidRPr="00567978">
        <w:rPr>
          <w:rFonts w:ascii="Arial" w:hAnsi="Arial" w:cs="Arial"/>
          <w:b/>
          <w:bCs w:val="0"/>
          <w:color w:val="auto"/>
          <w:sz w:val="20"/>
          <w:szCs w:val="20"/>
        </w:rPr>
        <w:t>Industrial</w:t>
      </w:r>
      <w:bookmarkEnd w:id="155"/>
      <w:bookmarkEnd w:id="156"/>
      <w:bookmarkEnd w:id="157"/>
      <w:bookmarkEnd w:id="158"/>
      <w:bookmarkEnd w:id="159"/>
    </w:p>
    <w:p w14:paraId="0581F955" w14:textId="77777777" w:rsidR="00082868" w:rsidRDefault="00082868" w:rsidP="00082868">
      <w:pPr>
        <w:pStyle w:val="BodyText"/>
        <w:jc w:val="left"/>
        <w:rPr>
          <w:b w:val="0"/>
        </w:rPr>
      </w:pPr>
    </w:p>
    <w:p w14:paraId="79DF4787" w14:textId="514931B4" w:rsidR="000A36E4" w:rsidRDefault="00234820" w:rsidP="00545173">
      <w:pPr>
        <w:pStyle w:val="BodyText"/>
        <w:spacing w:after="0" w:line="360" w:lineRule="auto"/>
        <w:jc w:val="both"/>
        <w:rPr>
          <w:b w:val="0"/>
        </w:rPr>
      </w:pPr>
      <w:r>
        <w:rPr>
          <w:b w:val="0"/>
        </w:rPr>
        <w:t>Except for a drop in 2020 due to the pandemic, h</w:t>
      </w:r>
      <w:r w:rsidR="00D24C72">
        <w:rPr>
          <w:b w:val="0"/>
        </w:rPr>
        <w:t xml:space="preserve">istorical industrial sales from </w:t>
      </w:r>
      <w:r w:rsidR="001900C7">
        <w:rPr>
          <w:b w:val="0"/>
        </w:rPr>
        <w:t>2013</w:t>
      </w:r>
      <w:r w:rsidR="00D24C72">
        <w:rPr>
          <w:b w:val="0"/>
        </w:rPr>
        <w:t>-</w:t>
      </w:r>
      <w:r w:rsidR="001900C7">
        <w:rPr>
          <w:b w:val="0"/>
        </w:rPr>
        <w:t xml:space="preserve">2023 </w:t>
      </w:r>
      <w:r w:rsidR="0076436D">
        <w:rPr>
          <w:b w:val="0"/>
        </w:rPr>
        <w:t xml:space="preserve">were </w:t>
      </w:r>
      <w:r w:rsidR="00337B90">
        <w:rPr>
          <w:b w:val="0"/>
        </w:rPr>
        <w:t xml:space="preserve">relatively </w:t>
      </w:r>
      <w:r w:rsidR="0076436D">
        <w:rPr>
          <w:b w:val="0"/>
        </w:rPr>
        <w:t>flat, increasing by an</w:t>
      </w:r>
      <w:r w:rsidR="00B72CA8">
        <w:rPr>
          <w:b w:val="0"/>
        </w:rPr>
        <w:t xml:space="preserve"> average of </w:t>
      </w:r>
      <w:r w:rsidR="0076436D">
        <w:rPr>
          <w:b w:val="0"/>
        </w:rPr>
        <w:t xml:space="preserve">just 31 </w:t>
      </w:r>
      <w:r w:rsidR="00B72CA8">
        <w:rPr>
          <w:b w:val="0"/>
        </w:rPr>
        <w:t xml:space="preserve">GWh per year. </w:t>
      </w:r>
    </w:p>
    <w:p w14:paraId="55B12BA4" w14:textId="77777777" w:rsidR="0076436D" w:rsidRDefault="0076436D" w:rsidP="00365219">
      <w:pPr>
        <w:pStyle w:val="BodyText"/>
        <w:spacing w:after="0" w:line="360" w:lineRule="auto"/>
        <w:jc w:val="both"/>
        <w:rPr>
          <w:b w:val="0"/>
        </w:rPr>
      </w:pPr>
    </w:p>
    <w:p w14:paraId="00766D26" w14:textId="05E31D09" w:rsidR="0076436D" w:rsidRPr="001845F3" w:rsidRDefault="0076436D" w:rsidP="00966D80">
      <w:pPr>
        <w:pStyle w:val="BodyText"/>
        <w:spacing w:line="360" w:lineRule="auto"/>
        <w:jc w:val="both"/>
        <w:rPr>
          <w:b w:val="0"/>
          <w:bCs/>
        </w:rPr>
      </w:pPr>
      <w:r w:rsidRPr="00365219">
        <w:rPr>
          <w:b w:val="0"/>
          <w:bCs/>
        </w:rPr>
        <w:t xml:space="preserve">Industrial sales in Budget 2022 were expected to grow slowly after the pandemic, and then pick up in the outer years of the forecast, driven primarily by growth in </w:t>
      </w:r>
      <w:r w:rsidR="00672BDF">
        <w:rPr>
          <w:b w:val="0"/>
          <w:bCs/>
        </w:rPr>
        <w:t>i</w:t>
      </w:r>
      <w:r w:rsidR="00672BDF" w:rsidRPr="00365219">
        <w:rPr>
          <w:b w:val="0"/>
          <w:bCs/>
        </w:rPr>
        <w:t xml:space="preserve">ndustrial </w:t>
      </w:r>
      <w:r w:rsidR="00672BDF">
        <w:rPr>
          <w:b w:val="0"/>
          <w:bCs/>
        </w:rPr>
        <w:t>p</w:t>
      </w:r>
      <w:r w:rsidR="00672BDF" w:rsidRPr="00365219">
        <w:rPr>
          <w:b w:val="0"/>
          <w:bCs/>
        </w:rPr>
        <w:t>roduction</w:t>
      </w:r>
      <w:r w:rsidRPr="00365219">
        <w:rPr>
          <w:b w:val="0"/>
          <w:bCs/>
        </w:rPr>
        <w:t xml:space="preserve">. </w:t>
      </w:r>
      <w:r w:rsidR="00D8203B">
        <w:rPr>
          <w:b w:val="0"/>
          <w:bCs/>
        </w:rPr>
        <w:t xml:space="preserve">Budget 2025 and </w:t>
      </w:r>
      <w:r w:rsidR="00594485" w:rsidRPr="00594485">
        <w:rPr>
          <w:b w:val="0"/>
          <w:bCs/>
        </w:rPr>
        <w:t>the</w:t>
      </w:r>
      <w:r w:rsidRPr="00365219">
        <w:rPr>
          <w:b w:val="0"/>
          <w:bCs/>
        </w:rPr>
        <w:t xml:space="preserve"> 2023 IRP Update</w:t>
      </w:r>
      <w:r w:rsidRPr="00365219" w:rsidDel="006B1A20">
        <w:rPr>
          <w:b w:val="0"/>
          <w:bCs/>
        </w:rPr>
        <w:t xml:space="preserve"> </w:t>
      </w:r>
      <w:r w:rsidR="00D8203B">
        <w:rPr>
          <w:b w:val="0"/>
          <w:bCs/>
        </w:rPr>
        <w:t xml:space="preserve">both </w:t>
      </w:r>
      <w:r w:rsidRPr="00365219">
        <w:rPr>
          <w:b w:val="0"/>
          <w:bCs/>
        </w:rPr>
        <w:t>begin to grow quickly in 2025 and beyond as new large customer load projects come online. Over the 20</w:t>
      </w:r>
      <w:r>
        <w:rPr>
          <w:b w:val="0"/>
          <w:bCs/>
        </w:rPr>
        <w:t>24</w:t>
      </w:r>
      <w:r w:rsidRPr="00365219">
        <w:rPr>
          <w:b w:val="0"/>
          <w:bCs/>
        </w:rPr>
        <w:t>-20</w:t>
      </w:r>
      <w:r>
        <w:rPr>
          <w:b w:val="0"/>
          <w:bCs/>
        </w:rPr>
        <w:t>34</w:t>
      </w:r>
      <w:r w:rsidRPr="00365219">
        <w:rPr>
          <w:b w:val="0"/>
          <w:bCs/>
        </w:rPr>
        <w:t xml:space="preserve"> period, </w:t>
      </w:r>
      <w:r w:rsidR="00D8203B">
        <w:rPr>
          <w:b w:val="0"/>
          <w:bCs/>
        </w:rPr>
        <w:t xml:space="preserve">Budget 2025 industrial sales are expected to grow by an average of almost 700 GWh per year, while </w:t>
      </w:r>
      <w:r w:rsidRPr="00365219">
        <w:rPr>
          <w:b w:val="0"/>
          <w:bCs/>
        </w:rPr>
        <w:t xml:space="preserve">the 2023 IRP Update expected to add </w:t>
      </w:r>
      <w:r w:rsidR="00D8203B">
        <w:rPr>
          <w:b w:val="0"/>
          <w:bCs/>
        </w:rPr>
        <w:t xml:space="preserve">more than </w:t>
      </w:r>
      <w:r w:rsidRPr="00365219" w:rsidDel="00FB7B06">
        <w:rPr>
          <w:b w:val="0"/>
          <w:bCs/>
        </w:rPr>
        <w:t>1,</w:t>
      </w:r>
      <w:r w:rsidR="00D8203B">
        <w:rPr>
          <w:b w:val="0"/>
          <w:bCs/>
        </w:rPr>
        <w:t>2</w:t>
      </w:r>
      <w:r w:rsidRPr="00365219">
        <w:rPr>
          <w:b w:val="0"/>
          <w:bCs/>
        </w:rPr>
        <w:t>0</w:t>
      </w:r>
      <w:r w:rsidR="00D8203B">
        <w:rPr>
          <w:b w:val="0"/>
          <w:bCs/>
        </w:rPr>
        <w:t>0</w:t>
      </w:r>
      <w:r w:rsidRPr="00365219">
        <w:rPr>
          <w:b w:val="0"/>
          <w:bCs/>
        </w:rPr>
        <w:t xml:space="preserve"> GWh per year.</w:t>
      </w:r>
      <w:r w:rsidR="00594485">
        <w:rPr>
          <w:b w:val="0"/>
          <w:bCs/>
        </w:rPr>
        <w:t xml:space="preserve"> </w:t>
      </w:r>
      <w:r w:rsidR="00EF7F15">
        <w:rPr>
          <w:b w:val="0"/>
          <w:bCs/>
        </w:rPr>
        <w:t>Industrial s</w:t>
      </w:r>
      <w:r w:rsidR="00594485">
        <w:rPr>
          <w:b w:val="0"/>
          <w:bCs/>
        </w:rPr>
        <w:t xml:space="preserve">ales growth in Budget 2025 is below </w:t>
      </w:r>
      <w:r w:rsidR="00EF7F15">
        <w:rPr>
          <w:b w:val="0"/>
          <w:bCs/>
        </w:rPr>
        <w:t xml:space="preserve">the projected </w:t>
      </w:r>
      <w:r w:rsidR="00594485">
        <w:rPr>
          <w:b w:val="0"/>
          <w:bCs/>
        </w:rPr>
        <w:t xml:space="preserve">growth in the 2023 IRP Update </w:t>
      </w:r>
      <w:r w:rsidR="00337B90">
        <w:rPr>
          <w:b w:val="0"/>
          <w:bCs/>
        </w:rPr>
        <w:t xml:space="preserve">for a number </w:t>
      </w:r>
      <w:r w:rsidR="00872909">
        <w:rPr>
          <w:b w:val="0"/>
          <w:bCs/>
        </w:rPr>
        <w:t xml:space="preserve">of </w:t>
      </w:r>
      <w:r w:rsidR="00337B90">
        <w:rPr>
          <w:b w:val="0"/>
          <w:bCs/>
        </w:rPr>
        <w:t xml:space="preserve">reasons, including: </w:t>
      </w:r>
      <w:r w:rsidR="00DC658B">
        <w:rPr>
          <w:b w:val="0"/>
          <w:bCs/>
        </w:rPr>
        <w:t>change</w:t>
      </w:r>
      <w:r w:rsidR="00090E5D">
        <w:rPr>
          <w:b w:val="0"/>
          <w:bCs/>
        </w:rPr>
        <w:t>s</w:t>
      </w:r>
      <w:r w:rsidR="00DC658B">
        <w:rPr>
          <w:b w:val="0"/>
          <w:bCs/>
        </w:rPr>
        <w:t xml:space="preserve"> </w:t>
      </w:r>
      <w:r w:rsidR="006D233B">
        <w:rPr>
          <w:b w:val="0"/>
          <w:bCs/>
        </w:rPr>
        <w:t>in project</w:t>
      </w:r>
      <w:r w:rsidR="00372F8B">
        <w:rPr>
          <w:b w:val="0"/>
          <w:bCs/>
        </w:rPr>
        <w:t xml:space="preserve"> status (e.g. project cancel</w:t>
      </w:r>
      <w:r w:rsidR="00957C88">
        <w:rPr>
          <w:b w:val="0"/>
          <w:bCs/>
        </w:rPr>
        <w:t>ation</w:t>
      </w:r>
      <w:r w:rsidR="00EF7F15">
        <w:rPr>
          <w:b w:val="0"/>
          <w:bCs/>
        </w:rPr>
        <w:t xml:space="preserve">); </w:t>
      </w:r>
      <w:r w:rsidR="00372F8B">
        <w:rPr>
          <w:b w:val="0"/>
          <w:bCs/>
        </w:rPr>
        <w:t>reduction</w:t>
      </w:r>
      <w:r w:rsidR="00090E5D">
        <w:rPr>
          <w:b w:val="0"/>
          <w:bCs/>
        </w:rPr>
        <w:t>s</w:t>
      </w:r>
      <w:r w:rsidR="00372F8B">
        <w:rPr>
          <w:b w:val="0"/>
          <w:bCs/>
        </w:rPr>
        <w:t xml:space="preserve"> in </w:t>
      </w:r>
      <w:r w:rsidR="00337B90">
        <w:rPr>
          <w:b w:val="0"/>
          <w:bCs/>
        </w:rPr>
        <w:t xml:space="preserve">announced </w:t>
      </w:r>
      <w:r w:rsidR="00372F8B">
        <w:rPr>
          <w:b w:val="0"/>
          <w:bCs/>
        </w:rPr>
        <w:t>load</w:t>
      </w:r>
      <w:r w:rsidR="00EF7F15">
        <w:rPr>
          <w:b w:val="0"/>
          <w:bCs/>
        </w:rPr>
        <w:t xml:space="preserve">; </w:t>
      </w:r>
      <w:r w:rsidR="00337B90">
        <w:rPr>
          <w:b w:val="0"/>
          <w:bCs/>
        </w:rPr>
        <w:t>or change</w:t>
      </w:r>
      <w:r w:rsidR="00090E5D">
        <w:rPr>
          <w:b w:val="0"/>
          <w:bCs/>
        </w:rPr>
        <w:t>s</w:t>
      </w:r>
      <w:r w:rsidR="00337B90">
        <w:rPr>
          <w:b w:val="0"/>
          <w:bCs/>
        </w:rPr>
        <w:t xml:space="preserve"> in the ramp-in schedule (e.g. project delay)</w:t>
      </w:r>
      <w:r w:rsidR="00372F8B">
        <w:rPr>
          <w:b w:val="0"/>
          <w:bCs/>
        </w:rPr>
        <w:t>.</w:t>
      </w:r>
      <w:r w:rsidR="00616255">
        <w:rPr>
          <w:b w:val="0"/>
          <w:bCs/>
        </w:rPr>
        <w:t xml:space="preserve"> </w:t>
      </w:r>
      <w:r w:rsidR="00594485">
        <w:rPr>
          <w:b w:val="0"/>
          <w:bCs/>
        </w:rPr>
        <w:t xml:space="preserve"> </w:t>
      </w:r>
    </w:p>
    <w:p w14:paraId="0E37B0B7" w14:textId="77777777" w:rsidR="0076436D" w:rsidRDefault="0076436D" w:rsidP="00966D80">
      <w:pPr>
        <w:pStyle w:val="BodyText"/>
        <w:spacing w:line="360" w:lineRule="auto"/>
        <w:jc w:val="both"/>
        <w:rPr>
          <w:b w:val="0"/>
        </w:rPr>
      </w:pPr>
    </w:p>
    <w:p w14:paraId="055425E7" w14:textId="453ECC9B" w:rsidR="00082868" w:rsidRDefault="00082868" w:rsidP="00CA4BBD">
      <w:pPr>
        <w:pStyle w:val="BodyTextIndent"/>
        <w:keepNext/>
        <w:ind w:left="0"/>
        <w:jc w:val="left"/>
        <w:rPr>
          <w:b/>
        </w:rPr>
      </w:pPr>
      <w:r w:rsidRPr="00082868">
        <w:rPr>
          <w:b/>
        </w:rPr>
        <w:lastRenderedPageBreak/>
        <w:t>Figure 1.2.</w:t>
      </w:r>
      <w:r w:rsidR="00D02073">
        <w:rPr>
          <w:b/>
        </w:rPr>
        <w:t>4</w:t>
      </w:r>
      <w:r w:rsidRPr="00082868">
        <w:rPr>
          <w:b/>
        </w:rPr>
        <w:t xml:space="preserve">-1: </w:t>
      </w:r>
      <w:r w:rsidRPr="005B54E1">
        <w:rPr>
          <w:b/>
        </w:rPr>
        <w:t>Industrial Energy Forecast</w:t>
      </w:r>
    </w:p>
    <w:p w14:paraId="1417A8A8" w14:textId="77777777" w:rsidR="00E64B47" w:rsidRDefault="00E64B47" w:rsidP="00CA4BBD">
      <w:pPr>
        <w:pStyle w:val="BodyTextIndent"/>
        <w:keepNext/>
        <w:ind w:left="0"/>
        <w:jc w:val="left"/>
        <w:rPr>
          <w:b/>
        </w:rPr>
      </w:pPr>
    </w:p>
    <w:p w14:paraId="083EC1CC" w14:textId="187DA23F" w:rsidR="002D6262" w:rsidRDefault="00D9394F" w:rsidP="00CA4BBD">
      <w:pPr>
        <w:pStyle w:val="BodyTextIndent"/>
        <w:keepNext/>
        <w:ind w:left="0"/>
        <w:jc w:val="left"/>
        <w:rPr>
          <w:b/>
        </w:rPr>
      </w:pPr>
      <w:r w:rsidRPr="00D9394F">
        <w:rPr>
          <w:b/>
          <w:noProof/>
        </w:rPr>
        <w:drawing>
          <wp:inline distT="0" distB="0" distL="0" distR="0" wp14:anchorId="4F3A86B9" wp14:editId="5ACA88F1">
            <wp:extent cx="5824855" cy="3332480"/>
            <wp:effectExtent l="0" t="0" r="4445" b="1270"/>
            <wp:docPr id="24231248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24855" cy="3332480"/>
                    </a:xfrm>
                    <a:prstGeom prst="rect">
                      <a:avLst/>
                    </a:prstGeom>
                    <a:noFill/>
                    <a:ln>
                      <a:noFill/>
                    </a:ln>
                  </pic:spPr>
                </pic:pic>
              </a:graphicData>
            </a:graphic>
          </wp:inline>
        </w:drawing>
      </w:r>
    </w:p>
    <w:p w14:paraId="56E43A2B" w14:textId="0C986D20" w:rsidR="00804FAA" w:rsidRDefault="00804FAA" w:rsidP="00CA4BBD">
      <w:pPr>
        <w:pStyle w:val="BodyTextIndent"/>
        <w:keepNext/>
        <w:ind w:left="0"/>
        <w:jc w:val="left"/>
      </w:pPr>
    </w:p>
    <w:p w14:paraId="4E9F0E82" w14:textId="77777777" w:rsidR="00804FAA" w:rsidRDefault="00804FAA" w:rsidP="00CA4BBD">
      <w:pPr>
        <w:pStyle w:val="BodyTextIndent"/>
        <w:keepNext/>
        <w:ind w:left="0"/>
        <w:jc w:val="left"/>
        <w:rPr>
          <w:b/>
        </w:rPr>
      </w:pPr>
    </w:p>
    <w:p w14:paraId="5DE0EB34" w14:textId="58D63E03" w:rsidR="00082868" w:rsidRPr="000E408F" w:rsidRDefault="00082868" w:rsidP="000E408F">
      <w:pPr>
        <w:pStyle w:val="Heading2"/>
        <w:spacing w:before="0" w:after="240"/>
        <w:jc w:val="left"/>
        <w:rPr>
          <w:rFonts w:ascii="Arial" w:hAnsi="Arial" w:cs="Arial"/>
          <w:b/>
          <w:color w:val="auto"/>
          <w:sz w:val="20"/>
          <w:szCs w:val="20"/>
        </w:rPr>
      </w:pPr>
      <w:bookmarkStart w:id="160" w:name="_Toc156382606"/>
      <w:bookmarkStart w:id="161" w:name="_Toc347120359"/>
      <w:bookmarkStart w:id="162" w:name="_Toc188257121"/>
      <w:bookmarkStart w:id="163" w:name="_Toc188257336"/>
      <w:bookmarkStart w:id="164" w:name="_Toc188257560"/>
      <w:bookmarkStart w:id="165" w:name="_Toc189162569"/>
      <w:r w:rsidRPr="000E408F">
        <w:rPr>
          <w:rFonts w:ascii="Arial" w:hAnsi="Arial" w:cs="Arial"/>
          <w:b/>
          <w:color w:val="auto"/>
          <w:sz w:val="20"/>
          <w:szCs w:val="20"/>
        </w:rPr>
        <w:t>1.2.</w:t>
      </w:r>
      <w:r w:rsidR="00D02073" w:rsidRPr="000E408F">
        <w:rPr>
          <w:rFonts w:ascii="Arial" w:hAnsi="Arial" w:cs="Arial"/>
          <w:b/>
          <w:color w:val="auto"/>
          <w:sz w:val="20"/>
          <w:szCs w:val="20"/>
        </w:rPr>
        <w:t xml:space="preserve">5 </w:t>
      </w:r>
      <w:r w:rsidR="00775830">
        <w:rPr>
          <w:rFonts w:ascii="Arial" w:hAnsi="Arial" w:cs="Arial"/>
          <w:b/>
          <w:color w:val="auto"/>
          <w:sz w:val="20"/>
          <w:szCs w:val="20"/>
        </w:rPr>
        <w:tab/>
      </w:r>
      <w:r w:rsidRPr="000E408F">
        <w:rPr>
          <w:rFonts w:ascii="Arial" w:hAnsi="Arial" w:cs="Arial"/>
          <w:b/>
          <w:color w:val="auto"/>
          <w:sz w:val="20"/>
          <w:szCs w:val="20"/>
        </w:rPr>
        <w:t>Other Retail: Governmental Lighting, MARTA</w:t>
      </w:r>
      <w:bookmarkEnd w:id="160"/>
      <w:bookmarkEnd w:id="161"/>
      <w:bookmarkEnd w:id="162"/>
      <w:bookmarkEnd w:id="163"/>
      <w:bookmarkEnd w:id="164"/>
      <w:bookmarkEnd w:id="165"/>
    </w:p>
    <w:p w14:paraId="18AC0142" w14:textId="77777777" w:rsidR="00082868" w:rsidRPr="003A3426" w:rsidRDefault="00082868" w:rsidP="00082868">
      <w:pPr>
        <w:jc w:val="left"/>
      </w:pPr>
    </w:p>
    <w:p w14:paraId="19B912E0" w14:textId="4CA5377D" w:rsidR="00082868" w:rsidRPr="00082868" w:rsidRDefault="00C36655" w:rsidP="00966D80">
      <w:pPr>
        <w:pStyle w:val="BodyText"/>
        <w:spacing w:line="360" w:lineRule="auto"/>
        <w:jc w:val="both"/>
        <w:rPr>
          <w:b w:val="0"/>
        </w:rPr>
      </w:pPr>
      <w:bookmarkStart w:id="166" w:name="_Hlk89353037"/>
      <w:r>
        <w:rPr>
          <w:b w:val="0"/>
        </w:rPr>
        <w:t>Regulated g</w:t>
      </w:r>
      <w:r w:rsidR="00FF2775">
        <w:rPr>
          <w:b w:val="0"/>
        </w:rPr>
        <w:t xml:space="preserve">overnmental </w:t>
      </w:r>
      <w:r w:rsidR="00D659A6">
        <w:rPr>
          <w:b w:val="0"/>
        </w:rPr>
        <w:t>l</w:t>
      </w:r>
      <w:r w:rsidR="00FF2775">
        <w:rPr>
          <w:b w:val="0"/>
        </w:rPr>
        <w:t xml:space="preserve">ighting and MARTA are </w:t>
      </w:r>
      <w:r w:rsidR="00374159">
        <w:rPr>
          <w:b w:val="0"/>
        </w:rPr>
        <w:t xml:space="preserve">Georgia Power’s </w:t>
      </w:r>
      <w:r w:rsidR="00FF2775">
        <w:rPr>
          <w:b w:val="0"/>
        </w:rPr>
        <w:t xml:space="preserve">two smallest </w:t>
      </w:r>
      <w:r w:rsidR="009C3D10">
        <w:rPr>
          <w:b w:val="0"/>
        </w:rPr>
        <w:t xml:space="preserve">customer </w:t>
      </w:r>
      <w:r w:rsidR="00FF2775">
        <w:rPr>
          <w:b w:val="0"/>
        </w:rPr>
        <w:t>classes</w:t>
      </w:r>
      <w:r w:rsidR="00374159">
        <w:rPr>
          <w:b w:val="0"/>
        </w:rPr>
        <w:t>. Combined, they account for less than 1% of total sales.</w:t>
      </w:r>
      <w:r w:rsidR="00FF2775">
        <w:rPr>
          <w:b w:val="0"/>
        </w:rPr>
        <w:t xml:space="preserve"> </w:t>
      </w:r>
      <w:r w:rsidR="00D659A6">
        <w:rPr>
          <w:b w:val="0"/>
        </w:rPr>
        <w:t xml:space="preserve">The </w:t>
      </w:r>
      <w:r>
        <w:rPr>
          <w:b w:val="0"/>
        </w:rPr>
        <w:t xml:space="preserve">regulated </w:t>
      </w:r>
      <w:r w:rsidR="00D659A6">
        <w:rPr>
          <w:b w:val="0"/>
        </w:rPr>
        <w:t xml:space="preserve">governmental lighting forecast is comprised of roadway lighting and traffic control. </w:t>
      </w:r>
      <w:r w:rsidR="008A4120">
        <w:rPr>
          <w:b w:val="0"/>
        </w:rPr>
        <w:t xml:space="preserve">Governmental lighting sales </w:t>
      </w:r>
      <w:r w:rsidR="004A20D8">
        <w:rPr>
          <w:b w:val="0"/>
        </w:rPr>
        <w:t>have</w:t>
      </w:r>
      <w:r w:rsidR="008A4120">
        <w:rPr>
          <w:b w:val="0"/>
        </w:rPr>
        <w:t xml:space="preserve"> decline</w:t>
      </w:r>
      <w:r w:rsidR="00D7397D">
        <w:rPr>
          <w:b w:val="0"/>
        </w:rPr>
        <w:t>d</w:t>
      </w:r>
      <w:r w:rsidR="008A4120">
        <w:rPr>
          <w:b w:val="0"/>
        </w:rPr>
        <w:t xml:space="preserve"> significantly </w:t>
      </w:r>
      <w:r w:rsidR="00D7397D">
        <w:rPr>
          <w:b w:val="0"/>
        </w:rPr>
        <w:t xml:space="preserve">since 2014 </w:t>
      </w:r>
      <w:r w:rsidR="00D659A6">
        <w:rPr>
          <w:b w:val="0"/>
        </w:rPr>
        <w:t xml:space="preserve">as </w:t>
      </w:r>
      <w:r w:rsidR="000733CE">
        <w:rPr>
          <w:b w:val="0"/>
        </w:rPr>
        <w:t>Georgia Power</w:t>
      </w:r>
      <w:r w:rsidR="00D659A6">
        <w:rPr>
          <w:b w:val="0"/>
        </w:rPr>
        <w:t xml:space="preserve"> worked with local municipalities to convert </w:t>
      </w:r>
      <w:r w:rsidR="008A4120">
        <w:rPr>
          <w:b w:val="0"/>
        </w:rPr>
        <w:t xml:space="preserve">traditional </w:t>
      </w:r>
      <w:r w:rsidR="004E287E">
        <w:rPr>
          <w:b w:val="0"/>
        </w:rPr>
        <w:t>streetlights</w:t>
      </w:r>
      <w:r w:rsidR="008A4120">
        <w:rPr>
          <w:b w:val="0"/>
        </w:rPr>
        <w:t xml:space="preserve"> to LED lights, which use much less energy. </w:t>
      </w:r>
      <w:r w:rsidR="00082868" w:rsidRPr="00082868">
        <w:rPr>
          <w:b w:val="0"/>
        </w:rPr>
        <w:t>B</w:t>
      </w:r>
      <w:r w:rsidR="008A4120">
        <w:rPr>
          <w:b w:val="0"/>
        </w:rPr>
        <w:t xml:space="preserve">udget </w:t>
      </w:r>
      <w:r w:rsidR="00841140" w:rsidRPr="00082868">
        <w:rPr>
          <w:b w:val="0"/>
        </w:rPr>
        <w:t>20</w:t>
      </w:r>
      <w:r w:rsidR="00841140">
        <w:rPr>
          <w:b w:val="0"/>
        </w:rPr>
        <w:t>22</w:t>
      </w:r>
      <w:r w:rsidR="000733CE">
        <w:rPr>
          <w:b w:val="0"/>
        </w:rPr>
        <w:t xml:space="preserve"> recognize</w:t>
      </w:r>
      <w:r w:rsidR="00D32A03">
        <w:rPr>
          <w:b w:val="0"/>
        </w:rPr>
        <w:t>d</w:t>
      </w:r>
      <w:r w:rsidR="000733CE">
        <w:rPr>
          <w:b w:val="0"/>
        </w:rPr>
        <w:t xml:space="preserve"> that over time traditional </w:t>
      </w:r>
      <w:r w:rsidR="004E287E">
        <w:rPr>
          <w:b w:val="0"/>
        </w:rPr>
        <w:t>streetlights</w:t>
      </w:r>
      <w:r w:rsidR="000733CE">
        <w:rPr>
          <w:b w:val="0"/>
        </w:rPr>
        <w:t xml:space="preserve"> </w:t>
      </w:r>
      <w:r w:rsidR="00792015">
        <w:rPr>
          <w:b w:val="0"/>
        </w:rPr>
        <w:t xml:space="preserve">will be replaced with LEDs as they </w:t>
      </w:r>
      <w:r w:rsidR="000733CE">
        <w:rPr>
          <w:b w:val="0"/>
        </w:rPr>
        <w:t>reach the end of their useful lives</w:t>
      </w:r>
      <w:r w:rsidR="00792015">
        <w:rPr>
          <w:b w:val="0"/>
        </w:rPr>
        <w:t>.</w:t>
      </w:r>
      <w:r w:rsidR="000733CE">
        <w:rPr>
          <w:b w:val="0"/>
        </w:rPr>
        <w:t xml:space="preserve"> </w:t>
      </w:r>
      <w:r w:rsidR="00D32A03">
        <w:rPr>
          <w:b w:val="0"/>
        </w:rPr>
        <w:t>Actual energy sales since 2021 have been declining faster than expected in both Budget 2022 and the 2023 IRP Update forecasts. As a result, t</w:t>
      </w:r>
      <w:r w:rsidR="000733CE" w:rsidRPr="00082868">
        <w:rPr>
          <w:b w:val="0"/>
        </w:rPr>
        <w:t xml:space="preserve">he Budget </w:t>
      </w:r>
      <w:r w:rsidR="00D32A03" w:rsidRPr="00082868">
        <w:rPr>
          <w:b w:val="0"/>
        </w:rPr>
        <w:t>20</w:t>
      </w:r>
      <w:r w:rsidR="00D32A03">
        <w:rPr>
          <w:b w:val="0"/>
        </w:rPr>
        <w:t>25</w:t>
      </w:r>
      <w:r w:rsidR="00D32A03" w:rsidRPr="00082868">
        <w:rPr>
          <w:b w:val="0"/>
        </w:rPr>
        <w:t xml:space="preserve"> </w:t>
      </w:r>
      <w:r w:rsidR="000733CE" w:rsidRPr="00082868">
        <w:rPr>
          <w:b w:val="0"/>
        </w:rPr>
        <w:t xml:space="preserve">governmental lighting forecast </w:t>
      </w:r>
      <w:r w:rsidR="00D32A03">
        <w:rPr>
          <w:b w:val="0"/>
        </w:rPr>
        <w:t>anticipates changeouts to LED fixtures to occur at a faster pace</w:t>
      </w:r>
      <w:r w:rsidR="000D2E52">
        <w:rPr>
          <w:b w:val="0"/>
        </w:rPr>
        <w:t xml:space="preserve">. Budget 2025 </w:t>
      </w:r>
      <w:r w:rsidR="000733CE" w:rsidRPr="00082868">
        <w:rPr>
          <w:b w:val="0"/>
        </w:rPr>
        <w:t xml:space="preserve">is </w:t>
      </w:r>
      <w:r w:rsidR="00792015">
        <w:rPr>
          <w:b w:val="0"/>
        </w:rPr>
        <w:t xml:space="preserve">thus </w:t>
      </w:r>
      <w:r w:rsidR="000733CE" w:rsidRPr="00082868">
        <w:rPr>
          <w:b w:val="0"/>
        </w:rPr>
        <w:t xml:space="preserve">lower than Budget </w:t>
      </w:r>
      <w:r w:rsidR="000D2E52" w:rsidRPr="00082868">
        <w:rPr>
          <w:b w:val="0"/>
        </w:rPr>
        <w:t>20</w:t>
      </w:r>
      <w:r w:rsidR="000D2E52">
        <w:rPr>
          <w:b w:val="0"/>
        </w:rPr>
        <w:t xml:space="preserve">22 </w:t>
      </w:r>
      <w:r w:rsidR="000733CE">
        <w:rPr>
          <w:b w:val="0"/>
        </w:rPr>
        <w:t xml:space="preserve">over the forecast horizon, as shown in </w:t>
      </w:r>
      <w:r w:rsidR="000733CE" w:rsidRPr="00082868">
        <w:rPr>
          <w:b w:val="0"/>
        </w:rPr>
        <w:t>Figure 1.2.</w:t>
      </w:r>
      <w:r w:rsidR="000733CE">
        <w:rPr>
          <w:b w:val="0"/>
        </w:rPr>
        <w:t>5</w:t>
      </w:r>
      <w:r w:rsidR="000733CE" w:rsidRPr="00082868">
        <w:rPr>
          <w:b w:val="0"/>
        </w:rPr>
        <w:t>-1</w:t>
      </w:r>
      <w:r w:rsidR="000733CE">
        <w:rPr>
          <w:b w:val="0"/>
        </w:rPr>
        <w:t>.</w:t>
      </w:r>
      <w:r w:rsidR="00616255">
        <w:rPr>
          <w:b w:val="0"/>
        </w:rPr>
        <w:t xml:space="preserve"> </w:t>
      </w:r>
      <w:r w:rsidR="00BE7CAB">
        <w:rPr>
          <w:b w:val="0"/>
        </w:rPr>
        <w:t xml:space="preserve"> </w:t>
      </w:r>
    </w:p>
    <w:p w14:paraId="6C15E34E" w14:textId="77777777" w:rsidR="00082868" w:rsidRDefault="00082868" w:rsidP="00735896">
      <w:pPr>
        <w:pStyle w:val="BodyTextIndent"/>
        <w:spacing w:line="360" w:lineRule="auto"/>
        <w:ind w:left="0"/>
        <w:jc w:val="left"/>
        <w:rPr>
          <w:b/>
        </w:rPr>
      </w:pPr>
    </w:p>
    <w:p w14:paraId="1EBE0F90" w14:textId="70326914" w:rsidR="00082868" w:rsidRDefault="00082868" w:rsidP="00CA4BBD">
      <w:pPr>
        <w:pStyle w:val="BodyTextIndent"/>
        <w:keepNext/>
        <w:ind w:left="0"/>
        <w:jc w:val="left"/>
        <w:rPr>
          <w:b/>
        </w:rPr>
      </w:pPr>
      <w:r>
        <w:rPr>
          <w:b/>
        </w:rPr>
        <w:lastRenderedPageBreak/>
        <w:t>Figure 1.2.</w:t>
      </w:r>
      <w:r w:rsidR="00D02073">
        <w:rPr>
          <w:b/>
        </w:rPr>
        <w:t>5</w:t>
      </w:r>
      <w:r>
        <w:rPr>
          <w:b/>
        </w:rPr>
        <w:t xml:space="preserve">-1: </w:t>
      </w:r>
      <w:r w:rsidRPr="007E16E5">
        <w:rPr>
          <w:b/>
        </w:rPr>
        <w:t>Governmental Lighting Energy Forecast</w:t>
      </w:r>
    </w:p>
    <w:p w14:paraId="46D58242" w14:textId="77777777" w:rsidR="007E16E5" w:rsidRDefault="007E16E5" w:rsidP="00CA4BBD">
      <w:pPr>
        <w:pStyle w:val="BodyTextIndent"/>
        <w:keepNext/>
        <w:ind w:left="0"/>
        <w:jc w:val="left"/>
        <w:rPr>
          <w:b/>
        </w:rPr>
      </w:pPr>
    </w:p>
    <w:p w14:paraId="7C67D443" w14:textId="7E735882" w:rsidR="009E541B" w:rsidRDefault="00D9394F" w:rsidP="00CA4BBD">
      <w:pPr>
        <w:pStyle w:val="BodyTextIndent"/>
        <w:keepNext/>
        <w:ind w:left="0"/>
        <w:jc w:val="left"/>
        <w:rPr>
          <w:b/>
        </w:rPr>
      </w:pPr>
      <w:r w:rsidRPr="00D9394F">
        <w:rPr>
          <w:b/>
          <w:noProof/>
        </w:rPr>
        <w:drawing>
          <wp:inline distT="0" distB="0" distL="0" distR="0" wp14:anchorId="3BBB2513" wp14:editId="01B02B60">
            <wp:extent cx="5824855" cy="3332480"/>
            <wp:effectExtent l="0" t="0" r="4445" b="1270"/>
            <wp:docPr id="4885973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24855" cy="3332480"/>
                    </a:xfrm>
                    <a:prstGeom prst="rect">
                      <a:avLst/>
                    </a:prstGeom>
                    <a:noFill/>
                    <a:ln>
                      <a:noFill/>
                    </a:ln>
                  </pic:spPr>
                </pic:pic>
              </a:graphicData>
            </a:graphic>
          </wp:inline>
        </w:drawing>
      </w:r>
    </w:p>
    <w:bookmarkEnd w:id="166"/>
    <w:p w14:paraId="682E30DF" w14:textId="3EA3615F" w:rsidR="00792015" w:rsidRDefault="00792015" w:rsidP="00CA4BBD">
      <w:pPr>
        <w:pStyle w:val="BodyTextIndent"/>
        <w:keepNext/>
        <w:ind w:left="0"/>
        <w:jc w:val="left"/>
      </w:pPr>
    </w:p>
    <w:p w14:paraId="1BFFF63B" w14:textId="2FD72BAC" w:rsidR="00082868" w:rsidRDefault="004C3D15" w:rsidP="00966D80">
      <w:pPr>
        <w:pStyle w:val="BodyText"/>
        <w:spacing w:line="360" w:lineRule="auto"/>
        <w:jc w:val="both"/>
        <w:rPr>
          <w:b w:val="0"/>
        </w:rPr>
      </w:pPr>
      <w:bookmarkStart w:id="167" w:name="_Hlk89355076"/>
      <w:r w:rsidRPr="009366C1">
        <w:rPr>
          <w:b w:val="0"/>
          <w:bCs/>
        </w:rPr>
        <w:t xml:space="preserve">Energy sales to MARTA dropped significantly in 2020 as ridership fell due to the Covid-19 pandemic. </w:t>
      </w:r>
      <w:r w:rsidR="008947ED" w:rsidRPr="009366C1">
        <w:rPr>
          <w:b w:val="0"/>
          <w:bCs/>
        </w:rPr>
        <w:t xml:space="preserve">As seen in Figure 1.2.5-2, </w:t>
      </w:r>
      <w:r w:rsidR="00753738">
        <w:rPr>
          <w:b w:val="0"/>
          <w:bCs/>
        </w:rPr>
        <w:t>actual energy sales</w:t>
      </w:r>
      <w:r w:rsidR="00E31479">
        <w:rPr>
          <w:b w:val="0"/>
          <w:bCs/>
        </w:rPr>
        <w:t>, as well as the 2023 IRP Update and Budget 2025 forecasts</w:t>
      </w:r>
      <w:r w:rsidR="00130E6F">
        <w:rPr>
          <w:b w:val="0"/>
          <w:bCs/>
        </w:rPr>
        <w:t xml:space="preserve"> for MARTA sales</w:t>
      </w:r>
      <w:r w:rsidR="002A5388">
        <w:rPr>
          <w:b w:val="0"/>
          <w:bCs/>
        </w:rPr>
        <w:t>,</w:t>
      </w:r>
      <w:r w:rsidR="00E31479">
        <w:rPr>
          <w:b w:val="0"/>
          <w:bCs/>
        </w:rPr>
        <w:t xml:space="preserve"> </w:t>
      </w:r>
      <w:r w:rsidR="00753738">
        <w:rPr>
          <w:b w:val="0"/>
          <w:bCs/>
        </w:rPr>
        <w:t xml:space="preserve">are down compared to what was expected in </w:t>
      </w:r>
      <w:r w:rsidR="00D32A03">
        <w:rPr>
          <w:b w:val="0"/>
          <w:bCs/>
        </w:rPr>
        <w:t xml:space="preserve">the </w:t>
      </w:r>
      <w:r w:rsidR="00753738">
        <w:rPr>
          <w:b w:val="0"/>
          <w:bCs/>
        </w:rPr>
        <w:t>Budget 2022</w:t>
      </w:r>
      <w:r w:rsidR="00D32A03">
        <w:rPr>
          <w:b w:val="0"/>
          <w:bCs/>
        </w:rPr>
        <w:t xml:space="preserve"> forecast</w:t>
      </w:r>
      <w:r w:rsidR="00753738">
        <w:rPr>
          <w:b w:val="0"/>
          <w:bCs/>
        </w:rPr>
        <w:t xml:space="preserve">. </w:t>
      </w:r>
      <w:r w:rsidR="008947ED">
        <w:rPr>
          <w:b w:val="0"/>
        </w:rPr>
        <w:t xml:space="preserve">The </w:t>
      </w:r>
      <w:r w:rsidR="00F00513">
        <w:rPr>
          <w:b w:val="0"/>
        </w:rPr>
        <w:t xml:space="preserve">desire of employees </w:t>
      </w:r>
      <w:r w:rsidR="00E31479">
        <w:rPr>
          <w:b w:val="0"/>
        </w:rPr>
        <w:t>for more flexible</w:t>
      </w:r>
      <w:r w:rsidR="00D32A03">
        <w:rPr>
          <w:b w:val="0"/>
        </w:rPr>
        <w:t xml:space="preserve"> </w:t>
      </w:r>
      <w:r w:rsidR="002B506B">
        <w:rPr>
          <w:b w:val="0"/>
        </w:rPr>
        <w:t>work and</w:t>
      </w:r>
      <w:r w:rsidR="00E31479">
        <w:rPr>
          <w:b w:val="0"/>
        </w:rPr>
        <w:t xml:space="preserve"> a shift to hybrid work</w:t>
      </w:r>
      <w:r w:rsidR="00D32A03">
        <w:rPr>
          <w:b w:val="0"/>
        </w:rPr>
        <w:t xml:space="preserve"> schedules</w:t>
      </w:r>
      <w:r w:rsidR="00E31479">
        <w:rPr>
          <w:b w:val="0"/>
        </w:rPr>
        <w:t xml:space="preserve"> is likely to have a negative impact on MARTA’s energy use for the foreseeable future.</w:t>
      </w:r>
    </w:p>
    <w:p w14:paraId="2445B69C" w14:textId="034447FF" w:rsidR="00082868" w:rsidRDefault="00082868" w:rsidP="00CA4BBD">
      <w:pPr>
        <w:pStyle w:val="BodyTextIndent"/>
        <w:keepNext/>
        <w:ind w:left="0"/>
        <w:jc w:val="left"/>
        <w:rPr>
          <w:b/>
        </w:rPr>
      </w:pPr>
      <w:r>
        <w:rPr>
          <w:b/>
        </w:rPr>
        <w:lastRenderedPageBreak/>
        <w:t>Figure 1.2.</w:t>
      </w:r>
      <w:r w:rsidR="00D02073">
        <w:rPr>
          <w:b/>
        </w:rPr>
        <w:t>5</w:t>
      </w:r>
      <w:r>
        <w:rPr>
          <w:b/>
        </w:rPr>
        <w:t xml:space="preserve">-2: </w:t>
      </w:r>
      <w:r w:rsidRPr="007E16E5">
        <w:rPr>
          <w:b/>
        </w:rPr>
        <w:t>MARTA Energy Forecast</w:t>
      </w:r>
    </w:p>
    <w:p w14:paraId="3A8EC8D7" w14:textId="77777777" w:rsidR="007E16E5" w:rsidRDefault="007E16E5" w:rsidP="00CA4BBD">
      <w:pPr>
        <w:pStyle w:val="BodyTextIndent"/>
        <w:keepNext/>
        <w:ind w:left="0"/>
        <w:jc w:val="left"/>
        <w:rPr>
          <w:b/>
        </w:rPr>
      </w:pPr>
    </w:p>
    <w:p w14:paraId="217B493A" w14:textId="70C226D4" w:rsidR="002D6262" w:rsidRDefault="00D9394F" w:rsidP="00CA4BBD">
      <w:pPr>
        <w:pStyle w:val="BodyTextIndent"/>
        <w:keepNext/>
        <w:ind w:left="0"/>
        <w:jc w:val="left"/>
        <w:rPr>
          <w:b/>
        </w:rPr>
      </w:pPr>
      <w:r w:rsidRPr="00D9394F">
        <w:rPr>
          <w:b/>
          <w:noProof/>
        </w:rPr>
        <w:drawing>
          <wp:inline distT="0" distB="0" distL="0" distR="0" wp14:anchorId="7DFDC7D5" wp14:editId="65AA379B">
            <wp:extent cx="5824855" cy="3322955"/>
            <wp:effectExtent l="0" t="0" r="4445" b="0"/>
            <wp:docPr id="82598206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24855" cy="3322955"/>
                    </a:xfrm>
                    <a:prstGeom prst="rect">
                      <a:avLst/>
                    </a:prstGeom>
                    <a:noFill/>
                    <a:ln>
                      <a:noFill/>
                    </a:ln>
                  </pic:spPr>
                </pic:pic>
              </a:graphicData>
            </a:graphic>
          </wp:inline>
        </w:drawing>
      </w:r>
      <w:bookmarkEnd w:id="167"/>
    </w:p>
    <w:p w14:paraId="11B505A6" w14:textId="58336C3E" w:rsidR="00082868" w:rsidRDefault="00082868" w:rsidP="00EA0364">
      <w:pPr>
        <w:pStyle w:val="BodyTextIndent"/>
        <w:keepNext/>
        <w:spacing w:line="360" w:lineRule="auto"/>
        <w:ind w:left="0"/>
        <w:jc w:val="left"/>
        <w:rPr>
          <w:b/>
        </w:rPr>
      </w:pPr>
    </w:p>
    <w:p w14:paraId="51E564CB" w14:textId="5289785C" w:rsidR="00082868" w:rsidRPr="00082868" w:rsidRDefault="00082868" w:rsidP="009D70AD">
      <w:pPr>
        <w:pStyle w:val="Heading1"/>
        <w:tabs>
          <w:tab w:val="left" w:pos="720"/>
          <w:tab w:val="left" w:pos="1440"/>
          <w:tab w:val="left" w:pos="2160"/>
          <w:tab w:val="right" w:pos="9173"/>
        </w:tabs>
        <w:jc w:val="left"/>
        <w:rPr>
          <w:rFonts w:ascii="Arial" w:hAnsi="Arial" w:cs="Arial"/>
          <w:b/>
          <w:color w:val="auto"/>
        </w:rPr>
      </w:pPr>
      <w:bookmarkStart w:id="168" w:name="_Toc347120362"/>
      <w:bookmarkStart w:id="169" w:name="_Toc188257122"/>
      <w:bookmarkStart w:id="170" w:name="_Toc188257337"/>
      <w:bookmarkStart w:id="171" w:name="_Toc188257561"/>
      <w:bookmarkStart w:id="172" w:name="_Toc189162570"/>
      <w:r w:rsidRPr="00082868">
        <w:rPr>
          <w:rFonts w:ascii="Arial" w:hAnsi="Arial" w:cs="Arial"/>
          <w:b/>
          <w:color w:val="auto"/>
        </w:rPr>
        <w:t>1.3</w:t>
      </w:r>
      <w:r w:rsidRPr="00082868">
        <w:rPr>
          <w:rFonts w:ascii="Arial" w:hAnsi="Arial" w:cs="Arial"/>
          <w:b/>
          <w:color w:val="auto"/>
        </w:rPr>
        <w:tab/>
        <w:t>ECONOMICS</w:t>
      </w:r>
      <w:bookmarkEnd w:id="168"/>
      <w:bookmarkEnd w:id="169"/>
      <w:bookmarkEnd w:id="170"/>
      <w:bookmarkEnd w:id="171"/>
      <w:bookmarkEnd w:id="172"/>
      <w:r w:rsidR="009D70AD">
        <w:rPr>
          <w:rFonts w:ascii="Arial" w:hAnsi="Arial" w:cs="Arial"/>
          <w:b/>
          <w:color w:val="auto"/>
        </w:rPr>
        <w:tab/>
      </w:r>
    </w:p>
    <w:p w14:paraId="6858A75F" w14:textId="77777777" w:rsidR="00082868" w:rsidRDefault="00082868" w:rsidP="00082868">
      <w:pPr>
        <w:pStyle w:val="BodyText"/>
        <w:jc w:val="left"/>
        <w:rPr>
          <w:b w:val="0"/>
        </w:rPr>
      </w:pPr>
    </w:p>
    <w:p w14:paraId="196A5AE6" w14:textId="2C7D6E37" w:rsidR="00DA6F0C" w:rsidRPr="0034388B" w:rsidRDefault="00DA6F0C" w:rsidP="000E408F">
      <w:pPr>
        <w:pStyle w:val="BodyText"/>
        <w:spacing w:after="0" w:line="360" w:lineRule="auto"/>
        <w:jc w:val="both"/>
        <w:rPr>
          <w:b w:val="0"/>
          <w:bCs/>
        </w:rPr>
      </w:pPr>
      <w:r w:rsidRPr="0034388B">
        <w:rPr>
          <w:b w:val="0"/>
          <w:bCs/>
        </w:rPr>
        <w:t xml:space="preserve">Georgia’s economy remains on solid footing and is </w:t>
      </w:r>
      <w:r w:rsidR="006C749C" w:rsidRPr="0034388B">
        <w:rPr>
          <w:b w:val="0"/>
          <w:bCs/>
        </w:rPr>
        <w:t xml:space="preserve">on par or </w:t>
      </w:r>
      <w:r w:rsidRPr="0034388B">
        <w:rPr>
          <w:b w:val="0"/>
          <w:bCs/>
        </w:rPr>
        <w:t>outp</w:t>
      </w:r>
      <w:r w:rsidR="00EA7266">
        <w:rPr>
          <w:b w:val="0"/>
          <w:bCs/>
        </w:rPr>
        <w:t>erform</w:t>
      </w:r>
      <w:r w:rsidRPr="0034388B">
        <w:rPr>
          <w:b w:val="0"/>
          <w:bCs/>
        </w:rPr>
        <w:t xml:space="preserve">ing the </w:t>
      </w:r>
      <w:r w:rsidR="004F026C">
        <w:rPr>
          <w:b w:val="0"/>
          <w:bCs/>
        </w:rPr>
        <w:t>United States (“</w:t>
      </w:r>
      <w:r w:rsidRPr="0034388B">
        <w:rPr>
          <w:b w:val="0"/>
          <w:bCs/>
        </w:rPr>
        <w:t>U.S.</w:t>
      </w:r>
      <w:r w:rsidR="004F026C">
        <w:rPr>
          <w:b w:val="0"/>
          <w:bCs/>
        </w:rPr>
        <w:t>”)</w:t>
      </w:r>
      <w:r w:rsidRPr="0034388B">
        <w:rPr>
          <w:b w:val="0"/>
          <w:bCs/>
        </w:rPr>
        <w:t xml:space="preserve"> in terms of employment growth, </w:t>
      </w:r>
      <w:r w:rsidR="00D37C03" w:rsidRPr="0034388B">
        <w:rPr>
          <w:b w:val="0"/>
          <w:bCs/>
        </w:rPr>
        <w:t xml:space="preserve">the </w:t>
      </w:r>
      <w:r w:rsidRPr="0034388B">
        <w:rPr>
          <w:b w:val="0"/>
          <w:bCs/>
        </w:rPr>
        <w:t xml:space="preserve">unemployment rate, and Gross </w:t>
      </w:r>
      <w:r w:rsidR="00BC0FF9">
        <w:rPr>
          <w:b w:val="0"/>
          <w:bCs/>
        </w:rPr>
        <w:t xml:space="preserve">State </w:t>
      </w:r>
      <w:r w:rsidRPr="0034388B">
        <w:rPr>
          <w:b w:val="0"/>
          <w:bCs/>
        </w:rPr>
        <w:t>Product</w:t>
      </w:r>
      <w:r w:rsidR="00EA7266">
        <w:rPr>
          <w:b w:val="0"/>
          <w:bCs/>
        </w:rPr>
        <w:t xml:space="preserve"> </w:t>
      </w:r>
      <w:r w:rsidR="00CE0F70">
        <w:rPr>
          <w:b w:val="0"/>
          <w:bCs/>
        </w:rPr>
        <w:t>(“GSP”)</w:t>
      </w:r>
      <w:r w:rsidR="00CE0F70" w:rsidRPr="0034388B">
        <w:rPr>
          <w:b w:val="0"/>
          <w:bCs/>
        </w:rPr>
        <w:t xml:space="preserve"> </w:t>
      </w:r>
      <w:r w:rsidR="00EA7266">
        <w:rPr>
          <w:b w:val="0"/>
          <w:bCs/>
        </w:rPr>
        <w:t>growth</w:t>
      </w:r>
      <w:r w:rsidRPr="0034388B">
        <w:rPr>
          <w:b w:val="0"/>
          <w:bCs/>
        </w:rPr>
        <w:t xml:space="preserve">. </w:t>
      </w:r>
      <w:r w:rsidR="006C749C" w:rsidRPr="0034388B">
        <w:rPr>
          <w:b w:val="0"/>
          <w:bCs/>
        </w:rPr>
        <w:t xml:space="preserve">In </w:t>
      </w:r>
      <w:r w:rsidR="00A30655">
        <w:rPr>
          <w:b w:val="0"/>
          <w:bCs/>
        </w:rPr>
        <w:t xml:space="preserve">the 12 months ending in </w:t>
      </w:r>
      <w:r w:rsidR="006C749C" w:rsidRPr="0034388B">
        <w:rPr>
          <w:b w:val="0"/>
          <w:bCs/>
        </w:rPr>
        <w:t xml:space="preserve">July 2024, </w:t>
      </w:r>
      <w:r w:rsidRPr="0034388B">
        <w:rPr>
          <w:b w:val="0"/>
          <w:bCs/>
        </w:rPr>
        <w:t xml:space="preserve">Georgia added more than </w:t>
      </w:r>
      <w:r w:rsidR="006C749C" w:rsidRPr="0034388B">
        <w:rPr>
          <w:b w:val="0"/>
          <w:bCs/>
        </w:rPr>
        <w:t>77</w:t>
      </w:r>
      <w:r w:rsidRPr="0034388B">
        <w:rPr>
          <w:b w:val="0"/>
          <w:bCs/>
        </w:rPr>
        <w:t xml:space="preserve">,000 jobs, </w:t>
      </w:r>
      <w:r w:rsidR="00D37C03" w:rsidRPr="0034388B">
        <w:rPr>
          <w:b w:val="0"/>
          <w:bCs/>
        </w:rPr>
        <w:t xml:space="preserve">an increase of </w:t>
      </w:r>
      <w:r w:rsidRPr="0034388B">
        <w:rPr>
          <w:b w:val="0"/>
          <w:bCs/>
        </w:rPr>
        <w:t>1.</w:t>
      </w:r>
      <w:r w:rsidR="006C749C" w:rsidRPr="0034388B">
        <w:rPr>
          <w:b w:val="0"/>
          <w:bCs/>
        </w:rPr>
        <w:t>6</w:t>
      </w:r>
      <w:r w:rsidRPr="0034388B">
        <w:rPr>
          <w:b w:val="0"/>
          <w:bCs/>
        </w:rPr>
        <w:t xml:space="preserve">% since </w:t>
      </w:r>
      <w:r w:rsidR="006C749C" w:rsidRPr="0034388B">
        <w:rPr>
          <w:b w:val="0"/>
          <w:bCs/>
        </w:rPr>
        <w:t>July 2023</w:t>
      </w:r>
      <w:r w:rsidRPr="0034388B">
        <w:rPr>
          <w:b w:val="0"/>
          <w:bCs/>
        </w:rPr>
        <w:t xml:space="preserve">, </w:t>
      </w:r>
      <w:r w:rsidR="004D2FE3" w:rsidRPr="0034388B">
        <w:rPr>
          <w:b w:val="0"/>
          <w:bCs/>
        </w:rPr>
        <w:t>the same percent</w:t>
      </w:r>
      <w:r w:rsidR="00EA7266">
        <w:rPr>
          <w:b w:val="0"/>
          <w:bCs/>
        </w:rPr>
        <w:t>age</w:t>
      </w:r>
      <w:r w:rsidR="004D2FE3" w:rsidRPr="0034388B">
        <w:rPr>
          <w:b w:val="0"/>
          <w:bCs/>
        </w:rPr>
        <w:t xml:space="preserve"> increase as </w:t>
      </w:r>
      <w:r w:rsidRPr="0034388B">
        <w:rPr>
          <w:b w:val="0"/>
          <w:bCs/>
        </w:rPr>
        <w:t>the</w:t>
      </w:r>
      <w:r w:rsidR="00FA02CE">
        <w:rPr>
          <w:b w:val="0"/>
          <w:bCs/>
        </w:rPr>
        <w:t xml:space="preserve"> </w:t>
      </w:r>
      <w:r w:rsidR="003E4EE3">
        <w:rPr>
          <w:b w:val="0"/>
          <w:bCs/>
        </w:rPr>
        <w:t>nation as a whole</w:t>
      </w:r>
      <w:r w:rsidRPr="0034388B">
        <w:rPr>
          <w:b w:val="0"/>
          <w:bCs/>
        </w:rPr>
        <w:t>.</w:t>
      </w:r>
      <w:r w:rsidR="004D2FE3" w:rsidRPr="0034388B">
        <w:rPr>
          <w:b w:val="0"/>
          <w:bCs/>
        </w:rPr>
        <w:t xml:space="preserve"> </w:t>
      </w:r>
      <w:r w:rsidRPr="0034388B">
        <w:rPr>
          <w:b w:val="0"/>
          <w:bCs/>
        </w:rPr>
        <w:t>Georgia’s unemployment rate, at 3.</w:t>
      </w:r>
      <w:r w:rsidR="004D2FE3" w:rsidRPr="0034388B">
        <w:rPr>
          <w:b w:val="0"/>
          <w:bCs/>
        </w:rPr>
        <w:t>4</w:t>
      </w:r>
      <w:r w:rsidRPr="0034388B">
        <w:rPr>
          <w:b w:val="0"/>
          <w:bCs/>
        </w:rPr>
        <w:t xml:space="preserve">% in </w:t>
      </w:r>
      <w:r w:rsidR="004D2FE3" w:rsidRPr="0034388B">
        <w:rPr>
          <w:b w:val="0"/>
          <w:bCs/>
        </w:rPr>
        <w:t>July</w:t>
      </w:r>
      <w:r w:rsidRPr="0034388B">
        <w:rPr>
          <w:b w:val="0"/>
          <w:bCs/>
        </w:rPr>
        <w:t xml:space="preserve"> 202</w:t>
      </w:r>
      <w:r w:rsidR="004D2FE3" w:rsidRPr="0034388B">
        <w:rPr>
          <w:b w:val="0"/>
          <w:bCs/>
        </w:rPr>
        <w:t>4</w:t>
      </w:r>
      <w:r w:rsidR="00CE0F70">
        <w:rPr>
          <w:b w:val="0"/>
          <w:bCs/>
        </w:rPr>
        <w:t>,</w:t>
      </w:r>
      <w:r w:rsidR="004D2FE3" w:rsidRPr="0034388B">
        <w:rPr>
          <w:b w:val="0"/>
          <w:bCs/>
        </w:rPr>
        <w:t xml:space="preserve"> </w:t>
      </w:r>
      <w:r w:rsidRPr="0034388B">
        <w:rPr>
          <w:b w:val="0"/>
          <w:bCs/>
        </w:rPr>
        <w:t xml:space="preserve">is </w:t>
      </w:r>
      <w:r w:rsidR="007656CF">
        <w:rPr>
          <w:b w:val="0"/>
          <w:bCs/>
        </w:rPr>
        <w:t xml:space="preserve">well </w:t>
      </w:r>
      <w:r w:rsidRPr="0034388B">
        <w:rPr>
          <w:b w:val="0"/>
          <w:bCs/>
        </w:rPr>
        <w:t xml:space="preserve">below the U.S. rate of </w:t>
      </w:r>
      <w:r w:rsidR="004D2FE3" w:rsidRPr="0034388B">
        <w:rPr>
          <w:b w:val="0"/>
          <w:bCs/>
        </w:rPr>
        <w:t>4</w:t>
      </w:r>
      <w:r w:rsidRPr="0034388B">
        <w:rPr>
          <w:b w:val="0"/>
          <w:bCs/>
        </w:rPr>
        <w:t>.</w:t>
      </w:r>
      <w:r w:rsidR="004D2FE3" w:rsidRPr="0034388B">
        <w:rPr>
          <w:b w:val="0"/>
          <w:bCs/>
        </w:rPr>
        <w:t>3</w:t>
      </w:r>
      <w:r w:rsidRPr="0034388B">
        <w:rPr>
          <w:b w:val="0"/>
          <w:bCs/>
        </w:rPr>
        <w:t xml:space="preserve">%. </w:t>
      </w:r>
    </w:p>
    <w:p w14:paraId="202DEC18" w14:textId="77777777" w:rsidR="00DA6F0C" w:rsidRPr="0034388B" w:rsidRDefault="00DA6F0C" w:rsidP="0034388B">
      <w:pPr>
        <w:spacing w:line="360" w:lineRule="auto"/>
        <w:jc w:val="both"/>
        <w:rPr>
          <w:b w:val="0"/>
          <w:bCs/>
        </w:rPr>
      </w:pPr>
    </w:p>
    <w:p w14:paraId="1CC71396" w14:textId="7983BCF4" w:rsidR="00DA6F0C" w:rsidRPr="00E832A5" w:rsidRDefault="00DA6F0C" w:rsidP="0034388B">
      <w:pPr>
        <w:spacing w:line="360" w:lineRule="auto"/>
        <w:jc w:val="both"/>
        <w:rPr>
          <w:rFonts w:asciiTheme="minorHAnsi" w:hAnsiTheme="minorHAnsi"/>
          <w:sz w:val="22"/>
          <w:szCs w:val="22"/>
        </w:rPr>
      </w:pPr>
      <w:r w:rsidRPr="0034388B">
        <w:rPr>
          <w:b w:val="0"/>
          <w:bCs/>
        </w:rPr>
        <w:t xml:space="preserve">With respect to real (i.e., inflation adjusted) output, Georgia continues to outpace the overall U.S. economy. In the latest information available from the Bureau of Economic Analysis, Georgia’s Q2-2024 real </w:t>
      </w:r>
      <w:r w:rsidR="00CE0F70">
        <w:rPr>
          <w:b w:val="0"/>
          <w:bCs/>
        </w:rPr>
        <w:t xml:space="preserve">GSP </w:t>
      </w:r>
      <w:r w:rsidRPr="0034388B">
        <w:rPr>
          <w:b w:val="0"/>
          <w:bCs/>
        </w:rPr>
        <w:t>grew at an annualized rate of 3.5%, compared to 3.0% for the U.S</w:t>
      </w:r>
      <w:r w:rsidR="004F026C">
        <w:rPr>
          <w:b w:val="0"/>
          <w:bCs/>
        </w:rPr>
        <w:t>.</w:t>
      </w:r>
      <w:r w:rsidR="00005265">
        <w:rPr>
          <w:b w:val="0"/>
          <w:bCs/>
        </w:rPr>
        <w:t xml:space="preserve"> Gross Domestic Product </w:t>
      </w:r>
      <w:r w:rsidR="00005265">
        <w:rPr>
          <w:b w:val="0"/>
        </w:rPr>
        <w:t>(“GDP”)</w:t>
      </w:r>
      <w:r w:rsidRPr="0034388B">
        <w:rPr>
          <w:b w:val="0"/>
          <w:bCs/>
        </w:rPr>
        <w:t>.</w:t>
      </w:r>
      <w:r w:rsidRPr="58161626">
        <w:rPr>
          <w:rFonts w:asciiTheme="minorHAnsi" w:hAnsiTheme="minorHAnsi"/>
          <w:sz w:val="22"/>
          <w:szCs w:val="22"/>
        </w:rPr>
        <w:t xml:space="preserve"> </w:t>
      </w:r>
    </w:p>
    <w:p w14:paraId="1C47242E" w14:textId="77777777" w:rsidR="00DA6F0C" w:rsidRPr="00E832A5" w:rsidRDefault="00DA6F0C" w:rsidP="00DA6F0C">
      <w:pPr>
        <w:spacing w:line="276" w:lineRule="auto"/>
        <w:jc w:val="both"/>
        <w:rPr>
          <w:rFonts w:asciiTheme="minorHAnsi" w:hAnsiTheme="minorHAnsi" w:cstheme="minorHAnsi"/>
          <w:sz w:val="22"/>
          <w:szCs w:val="22"/>
          <w:highlight w:val="yellow"/>
        </w:rPr>
      </w:pPr>
    </w:p>
    <w:p w14:paraId="72FD1365" w14:textId="33C3AB2B" w:rsidR="00DA6F0C" w:rsidRDefault="00DA6F0C" w:rsidP="00D752E8">
      <w:pPr>
        <w:spacing w:line="360" w:lineRule="auto"/>
        <w:jc w:val="both"/>
        <w:rPr>
          <w:b w:val="0"/>
          <w:bCs/>
        </w:rPr>
      </w:pPr>
      <w:r w:rsidRPr="0034388B">
        <w:rPr>
          <w:b w:val="0"/>
          <w:bCs/>
        </w:rPr>
        <w:t>Georgia</w:t>
      </w:r>
      <w:r w:rsidR="003D1BF5" w:rsidRPr="0034388B">
        <w:rPr>
          <w:b w:val="0"/>
          <w:bCs/>
        </w:rPr>
        <w:t xml:space="preserve">’s economy </w:t>
      </w:r>
      <w:r w:rsidRPr="0034388B">
        <w:rPr>
          <w:b w:val="0"/>
          <w:bCs/>
        </w:rPr>
        <w:t xml:space="preserve">is benefitting from strong population growth and is currently the eighth most populous state in the nation. Since the 2020 Census, the state has added </w:t>
      </w:r>
      <w:r w:rsidR="003D1BF5" w:rsidRPr="0034388B">
        <w:rPr>
          <w:b w:val="0"/>
          <w:bCs/>
        </w:rPr>
        <w:t>more than</w:t>
      </w:r>
      <w:r w:rsidRPr="0034388B">
        <w:rPr>
          <w:b w:val="0"/>
          <w:bCs/>
        </w:rPr>
        <w:t xml:space="preserve"> </w:t>
      </w:r>
      <w:r w:rsidR="003D1BF5" w:rsidRPr="0034388B">
        <w:rPr>
          <w:b w:val="0"/>
          <w:bCs/>
        </w:rPr>
        <w:t>3</w:t>
      </w:r>
      <w:r w:rsidRPr="0034388B">
        <w:rPr>
          <w:b w:val="0"/>
          <w:bCs/>
        </w:rPr>
        <w:t>1</w:t>
      </w:r>
      <w:r w:rsidR="003D1BF5" w:rsidRPr="0034388B">
        <w:rPr>
          <w:b w:val="0"/>
          <w:bCs/>
        </w:rPr>
        <w:t>5</w:t>
      </w:r>
      <w:r w:rsidRPr="0034388B">
        <w:rPr>
          <w:b w:val="0"/>
          <w:bCs/>
        </w:rPr>
        <w:t xml:space="preserve">,000 residents, which is the fourth highest increase in the U.S. In terms of percentage growth, Georgia’s population has grown </w:t>
      </w:r>
      <w:r w:rsidR="000153C1" w:rsidRPr="0034388B">
        <w:rPr>
          <w:b w:val="0"/>
          <w:bCs/>
        </w:rPr>
        <w:t>2</w:t>
      </w:r>
      <w:r w:rsidRPr="0034388B">
        <w:rPr>
          <w:b w:val="0"/>
          <w:bCs/>
        </w:rPr>
        <w:t>.9% from 2020-202</w:t>
      </w:r>
      <w:r w:rsidR="000153C1" w:rsidRPr="0034388B">
        <w:rPr>
          <w:b w:val="0"/>
          <w:bCs/>
        </w:rPr>
        <w:t>3</w:t>
      </w:r>
      <w:r w:rsidRPr="0034388B">
        <w:rPr>
          <w:b w:val="0"/>
          <w:bCs/>
        </w:rPr>
        <w:t xml:space="preserve"> compared to </w:t>
      </w:r>
      <w:r w:rsidR="000153C1" w:rsidRPr="0034388B">
        <w:rPr>
          <w:b w:val="0"/>
          <w:bCs/>
        </w:rPr>
        <w:t>1</w:t>
      </w:r>
      <w:r w:rsidRPr="0034388B">
        <w:rPr>
          <w:b w:val="0"/>
          <w:bCs/>
        </w:rPr>
        <w:t>.</w:t>
      </w:r>
      <w:r w:rsidR="000153C1" w:rsidRPr="0034388B">
        <w:rPr>
          <w:b w:val="0"/>
          <w:bCs/>
        </w:rPr>
        <w:t>0</w:t>
      </w:r>
      <w:r w:rsidRPr="0034388B">
        <w:rPr>
          <w:b w:val="0"/>
          <w:bCs/>
        </w:rPr>
        <w:t xml:space="preserve">% growth for the U.S. Net domestic migration accounted for nearly </w:t>
      </w:r>
      <w:r w:rsidR="008051B1">
        <w:rPr>
          <w:b w:val="0"/>
          <w:bCs/>
        </w:rPr>
        <w:t>59</w:t>
      </w:r>
      <w:r w:rsidRPr="0034388B">
        <w:rPr>
          <w:b w:val="0"/>
          <w:bCs/>
        </w:rPr>
        <w:t xml:space="preserve">% of the population increase since 2020, as </w:t>
      </w:r>
      <w:r w:rsidR="00D00B2B">
        <w:rPr>
          <w:b w:val="0"/>
          <w:bCs/>
        </w:rPr>
        <w:t>Georgia</w:t>
      </w:r>
      <w:r w:rsidR="00D00B2B" w:rsidRPr="0034388B">
        <w:rPr>
          <w:b w:val="0"/>
          <w:bCs/>
        </w:rPr>
        <w:t xml:space="preserve"> </w:t>
      </w:r>
      <w:r w:rsidRPr="0034388B">
        <w:rPr>
          <w:b w:val="0"/>
          <w:bCs/>
        </w:rPr>
        <w:t>welcomed over 1</w:t>
      </w:r>
      <w:r w:rsidR="008051B1">
        <w:rPr>
          <w:b w:val="0"/>
          <w:bCs/>
        </w:rPr>
        <w:t>85</w:t>
      </w:r>
      <w:r w:rsidRPr="0034388B">
        <w:rPr>
          <w:b w:val="0"/>
          <w:bCs/>
        </w:rPr>
        <w:t xml:space="preserve">,000 residents from other </w:t>
      </w:r>
      <w:r w:rsidRPr="0034388B">
        <w:rPr>
          <w:b w:val="0"/>
          <w:bCs/>
        </w:rPr>
        <w:lastRenderedPageBreak/>
        <w:t xml:space="preserve">states. This is the seventh highest increase in residents among the 50 states. International migration added over </w:t>
      </w:r>
      <w:r w:rsidR="008051B1">
        <w:rPr>
          <w:b w:val="0"/>
          <w:bCs/>
        </w:rPr>
        <w:t>52</w:t>
      </w:r>
      <w:r w:rsidRPr="0034388B">
        <w:rPr>
          <w:b w:val="0"/>
          <w:bCs/>
        </w:rPr>
        <w:t xml:space="preserve">,000 residents, while natural growth, calculated as births minus deaths, increased by </w:t>
      </w:r>
      <w:r w:rsidR="008051B1">
        <w:rPr>
          <w:b w:val="0"/>
          <w:bCs/>
        </w:rPr>
        <w:t>nearly</w:t>
      </w:r>
      <w:r w:rsidRPr="0034388B">
        <w:rPr>
          <w:b w:val="0"/>
          <w:bCs/>
        </w:rPr>
        <w:t xml:space="preserve"> </w:t>
      </w:r>
      <w:r w:rsidR="008051B1">
        <w:rPr>
          <w:b w:val="0"/>
          <w:bCs/>
        </w:rPr>
        <w:t>60</w:t>
      </w:r>
      <w:r w:rsidRPr="0034388B">
        <w:rPr>
          <w:b w:val="0"/>
          <w:bCs/>
        </w:rPr>
        <w:t>,000 from 2020-202</w:t>
      </w:r>
      <w:r w:rsidR="008051B1">
        <w:rPr>
          <w:b w:val="0"/>
          <w:bCs/>
        </w:rPr>
        <w:t>3</w:t>
      </w:r>
      <w:r w:rsidRPr="0034388B">
        <w:rPr>
          <w:b w:val="0"/>
          <w:bCs/>
        </w:rPr>
        <w:t xml:space="preserve">, the </w:t>
      </w:r>
      <w:r w:rsidR="008051B1">
        <w:rPr>
          <w:b w:val="0"/>
          <w:bCs/>
        </w:rPr>
        <w:t>fif</w:t>
      </w:r>
      <w:r w:rsidRPr="0034388B">
        <w:rPr>
          <w:b w:val="0"/>
          <w:bCs/>
        </w:rPr>
        <w:t>th highest increase in the nation. Robust population growth over the past few years has supported a steady increase in Georgia’s labor force, which is essential to continued economic growth.</w:t>
      </w:r>
      <w:r w:rsidR="00E5187D">
        <w:rPr>
          <w:b w:val="0"/>
          <w:bCs/>
        </w:rPr>
        <w:t xml:space="preserve"> </w:t>
      </w:r>
    </w:p>
    <w:p w14:paraId="6649038E" w14:textId="77777777" w:rsidR="00E5187D" w:rsidRPr="00E832A5" w:rsidRDefault="00E5187D" w:rsidP="0034388B">
      <w:pPr>
        <w:spacing w:line="360" w:lineRule="auto"/>
        <w:jc w:val="both"/>
        <w:rPr>
          <w:rFonts w:asciiTheme="minorHAnsi" w:hAnsiTheme="minorHAnsi" w:cstheme="minorHAnsi"/>
          <w:sz w:val="22"/>
          <w:szCs w:val="22"/>
        </w:rPr>
      </w:pPr>
    </w:p>
    <w:p w14:paraId="156110D7" w14:textId="6CB16F3B" w:rsidR="00082868" w:rsidRPr="00082868" w:rsidRDefault="00B95C1D" w:rsidP="000E408F">
      <w:pPr>
        <w:pStyle w:val="BodyText"/>
        <w:spacing w:after="0" w:line="360" w:lineRule="auto"/>
        <w:jc w:val="both"/>
        <w:rPr>
          <w:b w:val="0"/>
        </w:rPr>
      </w:pPr>
      <w:r>
        <w:rPr>
          <w:b w:val="0"/>
        </w:rPr>
        <w:t xml:space="preserve">Georgia remains an attractive place to do business. </w:t>
      </w:r>
      <w:r w:rsidR="00BD6C03">
        <w:rPr>
          <w:b w:val="0"/>
        </w:rPr>
        <w:t xml:space="preserve">Area Development has ranked Georgia the top state for doing business for </w:t>
      </w:r>
      <w:r w:rsidR="001A68D4">
        <w:rPr>
          <w:b w:val="0"/>
        </w:rPr>
        <w:t xml:space="preserve">the past </w:t>
      </w:r>
      <w:r w:rsidR="00CF43CA">
        <w:rPr>
          <w:b w:val="0"/>
        </w:rPr>
        <w:t xml:space="preserve">eleven </w:t>
      </w:r>
      <w:r w:rsidR="00BD6C03">
        <w:rPr>
          <w:b w:val="0"/>
        </w:rPr>
        <w:t>years.</w:t>
      </w:r>
      <w:r w:rsidR="004F026C">
        <w:rPr>
          <w:rStyle w:val="FootnoteReference"/>
          <w:b w:val="0"/>
        </w:rPr>
        <w:footnoteReference w:id="6"/>
      </w:r>
      <w:r w:rsidR="00BD6C03">
        <w:rPr>
          <w:b w:val="0"/>
        </w:rPr>
        <w:t xml:space="preserve"> </w:t>
      </w:r>
      <w:r w:rsidR="001A68D4">
        <w:rPr>
          <w:b w:val="0"/>
        </w:rPr>
        <w:t>The state ranks in the top five in 10 o</w:t>
      </w:r>
      <w:r w:rsidR="006C4861">
        <w:rPr>
          <w:b w:val="0"/>
        </w:rPr>
        <w:t xml:space="preserve">f the 14 </w:t>
      </w:r>
      <w:r w:rsidR="001A68D4">
        <w:rPr>
          <w:b w:val="0"/>
        </w:rPr>
        <w:t xml:space="preserve">categories used for evaluation. </w:t>
      </w:r>
      <w:r w:rsidR="004F026C" w:rsidRPr="00777194">
        <w:rPr>
          <w:b w:val="0"/>
        </w:rPr>
        <w:t>Most recently,</w:t>
      </w:r>
      <w:r w:rsidR="004F026C" w:rsidRPr="00777194">
        <w:rPr>
          <w:bCs/>
        </w:rPr>
        <w:t xml:space="preserve"> </w:t>
      </w:r>
      <w:r w:rsidR="004F026C" w:rsidRPr="00777194">
        <w:rPr>
          <w:b w:val="0"/>
        </w:rPr>
        <w:t>Georgia was named the number one state for Best Business Climate by a survey of site selection experts in Site Selection magazine’s January 2025 edition.</w:t>
      </w:r>
      <w:r w:rsidR="004F026C">
        <w:rPr>
          <w:rStyle w:val="FootnoteReference"/>
          <w:b w:val="0"/>
        </w:rPr>
        <w:footnoteReference w:id="7"/>
      </w:r>
      <w:r w:rsidR="00BD6C03">
        <w:rPr>
          <w:b w:val="0"/>
        </w:rPr>
        <w:t xml:space="preserve"> </w:t>
      </w:r>
      <w:r w:rsidR="008D562C">
        <w:rPr>
          <w:b w:val="0"/>
        </w:rPr>
        <w:t>Georgia</w:t>
      </w:r>
      <w:r w:rsidR="001A68D4">
        <w:rPr>
          <w:b w:val="0"/>
        </w:rPr>
        <w:t>’s strong reputation as a state favorable for business, combined with its excellent economic development efforts</w:t>
      </w:r>
      <w:r w:rsidR="008D562C">
        <w:rPr>
          <w:b w:val="0"/>
        </w:rPr>
        <w:t xml:space="preserve"> ha</w:t>
      </w:r>
      <w:r w:rsidR="001A68D4">
        <w:rPr>
          <w:b w:val="0"/>
        </w:rPr>
        <w:t>ve</w:t>
      </w:r>
      <w:r w:rsidR="008D562C">
        <w:rPr>
          <w:b w:val="0"/>
        </w:rPr>
        <w:t xml:space="preserve"> </w:t>
      </w:r>
      <w:r w:rsidR="001A68D4">
        <w:rPr>
          <w:b w:val="0"/>
        </w:rPr>
        <w:t xml:space="preserve">made it </w:t>
      </w:r>
      <w:r w:rsidR="008D562C">
        <w:rPr>
          <w:b w:val="0"/>
        </w:rPr>
        <w:t>very successful in attracting new businesses to the state, as well as expansions of existing businesses</w:t>
      </w:r>
      <w:r w:rsidR="003C49A0">
        <w:rPr>
          <w:b w:val="0"/>
        </w:rPr>
        <w:t>.</w:t>
      </w:r>
      <w:r w:rsidR="00082868" w:rsidRPr="00082868">
        <w:rPr>
          <w:b w:val="0"/>
        </w:rPr>
        <w:t xml:space="preserve"> </w:t>
      </w:r>
      <w:r w:rsidR="00AE558D">
        <w:rPr>
          <w:b w:val="0"/>
        </w:rPr>
        <w:t xml:space="preserve">Corporate relocations </w:t>
      </w:r>
      <w:r w:rsidR="002E16F5">
        <w:rPr>
          <w:b w:val="0"/>
        </w:rPr>
        <w:t xml:space="preserve">and expansions </w:t>
      </w:r>
      <w:r w:rsidR="00AE558D">
        <w:rPr>
          <w:b w:val="0"/>
        </w:rPr>
        <w:t>will help fuel growth in employment, population</w:t>
      </w:r>
      <w:r w:rsidR="008C0EF8">
        <w:rPr>
          <w:b w:val="0"/>
        </w:rPr>
        <w:t>,</w:t>
      </w:r>
      <w:r w:rsidR="00AE558D">
        <w:rPr>
          <w:b w:val="0"/>
        </w:rPr>
        <w:t xml:space="preserve"> and </w:t>
      </w:r>
      <w:r w:rsidR="00082868" w:rsidRPr="00082868">
        <w:rPr>
          <w:b w:val="0"/>
        </w:rPr>
        <w:t>income</w:t>
      </w:r>
      <w:r w:rsidR="00AE558D">
        <w:rPr>
          <w:b w:val="0"/>
        </w:rPr>
        <w:t>s</w:t>
      </w:r>
      <w:r w:rsidR="00082868" w:rsidRPr="00082868">
        <w:rPr>
          <w:b w:val="0"/>
        </w:rPr>
        <w:t xml:space="preserve">. </w:t>
      </w:r>
      <w:r w:rsidR="00D752E8">
        <w:rPr>
          <w:b w:val="0"/>
        </w:rPr>
        <w:t>Examples of businesses the state has attracted include electric vehicle battery and automobile manufacturers, solar panel manufacturers, and data centers.</w:t>
      </w:r>
      <w:r w:rsidR="00616255">
        <w:rPr>
          <w:b w:val="0"/>
        </w:rPr>
        <w:t xml:space="preserve"> </w:t>
      </w:r>
    </w:p>
    <w:p w14:paraId="47CFD80E" w14:textId="77777777" w:rsidR="00082868" w:rsidRPr="00082868" w:rsidRDefault="00082868" w:rsidP="0034388B">
      <w:pPr>
        <w:pStyle w:val="BodyText"/>
        <w:spacing w:after="0" w:line="360" w:lineRule="auto"/>
        <w:jc w:val="left"/>
        <w:rPr>
          <w:b w:val="0"/>
        </w:rPr>
      </w:pPr>
    </w:p>
    <w:p w14:paraId="60870EF1" w14:textId="68AB3D5A" w:rsidR="00297365" w:rsidRPr="007D1AEC" w:rsidRDefault="00297365" w:rsidP="00297365">
      <w:pPr>
        <w:pStyle w:val="BodyText"/>
        <w:spacing w:line="360" w:lineRule="auto"/>
        <w:jc w:val="both"/>
        <w:rPr>
          <w:b w:val="0"/>
        </w:rPr>
      </w:pPr>
      <w:r w:rsidRPr="00BC2767">
        <w:rPr>
          <w:b w:val="0"/>
          <w:bCs/>
        </w:rPr>
        <w:t xml:space="preserve">Georgia is expected to </w:t>
      </w:r>
      <w:r w:rsidR="00A46E07">
        <w:rPr>
          <w:b w:val="0"/>
          <w:bCs/>
        </w:rPr>
        <w:t xml:space="preserve">experience </w:t>
      </w:r>
      <w:r w:rsidRPr="00BC2767">
        <w:rPr>
          <w:b w:val="0"/>
          <w:bCs/>
        </w:rPr>
        <w:t xml:space="preserve">robust economic growth over the forecast </w:t>
      </w:r>
      <w:r w:rsidR="00E5187D">
        <w:rPr>
          <w:b w:val="0"/>
          <w:bCs/>
        </w:rPr>
        <w:t>period of 2024-2044</w:t>
      </w:r>
      <w:r w:rsidRPr="00BC2767">
        <w:rPr>
          <w:b w:val="0"/>
          <w:bCs/>
        </w:rPr>
        <w:t xml:space="preserve">. </w:t>
      </w:r>
      <w:r w:rsidR="00AE1ABB">
        <w:rPr>
          <w:b w:val="0"/>
          <w:bCs/>
        </w:rPr>
        <w:t>T</w:t>
      </w:r>
      <w:r w:rsidRPr="000C6B19">
        <w:rPr>
          <w:b w:val="0"/>
          <w:bCs/>
        </w:rPr>
        <w:t xml:space="preserve">he state </w:t>
      </w:r>
      <w:r w:rsidR="00E5187D">
        <w:rPr>
          <w:b w:val="0"/>
          <w:bCs/>
        </w:rPr>
        <w:t xml:space="preserve">has a number of positive attributes that will continue to </w:t>
      </w:r>
      <w:r w:rsidR="00EA7266">
        <w:rPr>
          <w:b w:val="0"/>
          <w:bCs/>
        </w:rPr>
        <w:t>attract businesses</w:t>
      </w:r>
      <w:r w:rsidRPr="000C6B19">
        <w:rPr>
          <w:b w:val="0"/>
          <w:bCs/>
        </w:rPr>
        <w:t xml:space="preserve">. Businesses are </w:t>
      </w:r>
      <w:r w:rsidR="00EA7266">
        <w:rPr>
          <w:b w:val="0"/>
          <w:bCs/>
        </w:rPr>
        <w:t xml:space="preserve">drawn </w:t>
      </w:r>
      <w:r w:rsidRPr="000C6B19">
        <w:rPr>
          <w:b w:val="0"/>
          <w:bCs/>
        </w:rPr>
        <w:t xml:space="preserve">to </w:t>
      </w:r>
      <w:r w:rsidR="00EA7266">
        <w:rPr>
          <w:b w:val="0"/>
          <w:bCs/>
        </w:rPr>
        <w:t>the state by its</w:t>
      </w:r>
      <w:r w:rsidRPr="000C6B19">
        <w:rPr>
          <w:b w:val="0"/>
          <w:bCs/>
        </w:rPr>
        <w:t xml:space="preserve"> low cost of doing business and low cost of living, the deep pool of knowledge and technical workers coming from its university system, its globally connected airport and transportation infrastructure (e.g. ports, highways), and its business-friendly government</w:t>
      </w:r>
      <w:r w:rsidRPr="00061E94">
        <w:rPr>
          <w:b w:val="0"/>
        </w:rPr>
        <w:t xml:space="preserve"> policies. Positive demographic </w:t>
      </w:r>
      <w:r w:rsidRPr="007D1AEC">
        <w:rPr>
          <w:b w:val="0"/>
        </w:rPr>
        <w:t xml:space="preserve">trends </w:t>
      </w:r>
      <w:r w:rsidRPr="00BC2767">
        <w:rPr>
          <w:b w:val="0"/>
        </w:rPr>
        <w:t>will also drive economic growth in the state</w:t>
      </w:r>
      <w:r w:rsidRPr="007D1AEC">
        <w:rPr>
          <w:b w:val="0"/>
        </w:rPr>
        <w:t>. As businesses relocate and expand in Georgia, the state will experience solid employment growth, which will attract new residents. As a result, population growth will remain above the U</w:t>
      </w:r>
      <w:r w:rsidR="00CA3C82">
        <w:rPr>
          <w:b w:val="0"/>
        </w:rPr>
        <w:t>.</w:t>
      </w:r>
      <w:r w:rsidRPr="007D1AEC">
        <w:rPr>
          <w:b w:val="0"/>
        </w:rPr>
        <w:t>S</w:t>
      </w:r>
      <w:r w:rsidR="00CA3C82">
        <w:rPr>
          <w:b w:val="0"/>
        </w:rPr>
        <w:t>.</w:t>
      </w:r>
      <w:r w:rsidRPr="007D1AEC">
        <w:rPr>
          <w:b w:val="0"/>
        </w:rPr>
        <w:t xml:space="preserve"> average</w:t>
      </w:r>
      <w:r w:rsidR="00EA7266">
        <w:rPr>
          <w:b w:val="0"/>
        </w:rPr>
        <w:t xml:space="preserve">, 0.7% </w:t>
      </w:r>
      <w:r w:rsidR="005A37FB">
        <w:rPr>
          <w:b w:val="0"/>
        </w:rPr>
        <w:t>for Georgia</w:t>
      </w:r>
      <w:r w:rsidR="00EA7266">
        <w:rPr>
          <w:b w:val="0"/>
        </w:rPr>
        <w:t xml:space="preserve"> vs. 0.3% for the U.S</w:t>
      </w:r>
      <w:r w:rsidRPr="007D1AEC">
        <w:rPr>
          <w:b w:val="0"/>
        </w:rPr>
        <w:t>.</w:t>
      </w:r>
      <w:r w:rsidR="00EA7266">
        <w:rPr>
          <w:b w:val="0"/>
        </w:rPr>
        <w:t>, o</w:t>
      </w:r>
      <w:r w:rsidR="00E5187D">
        <w:rPr>
          <w:b w:val="0"/>
          <w:bCs/>
        </w:rPr>
        <w:t>ver the forecast period</w:t>
      </w:r>
      <w:r w:rsidR="004F026C">
        <w:rPr>
          <w:b w:val="0"/>
          <w:bCs/>
        </w:rPr>
        <w:t>.</w:t>
      </w:r>
      <w:r w:rsidR="00AE1ABB">
        <w:rPr>
          <w:b w:val="0"/>
          <w:bCs/>
        </w:rPr>
        <w:t xml:space="preserve"> </w:t>
      </w:r>
    </w:p>
    <w:p w14:paraId="2CF2C65F" w14:textId="77777777" w:rsidR="00411C5F" w:rsidRPr="007D1AEC" w:rsidRDefault="00411C5F" w:rsidP="00297365">
      <w:pPr>
        <w:pStyle w:val="BodyText"/>
        <w:spacing w:line="360" w:lineRule="auto"/>
        <w:jc w:val="both"/>
        <w:rPr>
          <w:b w:val="0"/>
        </w:rPr>
      </w:pPr>
    </w:p>
    <w:p w14:paraId="327F5A65" w14:textId="77777777" w:rsidR="00082868" w:rsidRPr="00082868" w:rsidRDefault="00082868" w:rsidP="00082868">
      <w:pPr>
        <w:pStyle w:val="Heading1"/>
        <w:jc w:val="left"/>
        <w:rPr>
          <w:rFonts w:ascii="Arial" w:hAnsi="Arial" w:cs="Arial"/>
          <w:b/>
          <w:color w:val="auto"/>
        </w:rPr>
      </w:pPr>
      <w:bookmarkStart w:id="173" w:name="_Toc497031859"/>
      <w:bookmarkStart w:id="174" w:name="_Toc503665683"/>
      <w:bookmarkStart w:id="175" w:name="_Toc111952985"/>
      <w:bookmarkStart w:id="176" w:name="_Toc347120363"/>
      <w:bookmarkStart w:id="177" w:name="_Toc188257123"/>
      <w:bookmarkStart w:id="178" w:name="_Toc188257338"/>
      <w:bookmarkStart w:id="179" w:name="_Toc188257562"/>
      <w:bookmarkStart w:id="180" w:name="_Toc189162571"/>
      <w:r w:rsidRPr="00082868">
        <w:rPr>
          <w:rFonts w:ascii="Arial" w:hAnsi="Arial" w:cs="Arial"/>
          <w:b/>
          <w:color w:val="auto"/>
        </w:rPr>
        <w:t>1.4</w:t>
      </w:r>
      <w:r w:rsidRPr="00082868">
        <w:rPr>
          <w:rFonts w:ascii="Arial" w:hAnsi="Arial" w:cs="Arial"/>
          <w:b/>
          <w:color w:val="auto"/>
        </w:rPr>
        <w:tab/>
        <w:t>FORECAST ASSUMPTIONS</w:t>
      </w:r>
      <w:bookmarkEnd w:id="173"/>
      <w:bookmarkEnd w:id="174"/>
      <w:r w:rsidRPr="00082868">
        <w:rPr>
          <w:rFonts w:ascii="Arial" w:hAnsi="Arial" w:cs="Arial"/>
          <w:b/>
          <w:color w:val="auto"/>
        </w:rPr>
        <w:t xml:space="preserve"> AND METHODS</w:t>
      </w:r>
      <w:bookmarkEnd w:id="175"/>
      <w:bookmarkEnd w:id="176"/>
      <w:bookmarkEnd w:id="177"/>
      <w:bookmarkEnd w:id="178"/>
      <w:bookmarkEnd w:id="179"/>
      <w:bookmarkEnd w:id="180"/>
    </w:p>
    <w:p w14:paraId="5ABBA47D" w14:textId="77777777" w:rsidR="00082868" w:rsidRDefault="00082868" w:rsidP="00082868">
      <w:pPr>
        <w:pStyle w:val="BodyText"/>
        <w:jc w:val="left"/>
        <w:rPr>
          <w:b w:val="0"/>
        </w:rPr>
      </w:pPr>
    </w:p>
    <w:p w14:paraId="6BA23A68" w14:textId="507A544B" w:rsidR="00082868" w:rsidRPr="00082868" w:rsidRDefault="00585ADA" w:rsidP="000E408F">
      <w:pPr>
        <w:pStyle w:val="BodyText"/>
        <w:spacing w:after="0" w:line="360" w:lineRule="auto"/>
        <w:jc w:val="both"/>
        <w:rPr>
          <w:b w:val="0"/>
        </w:rPr>
      </w:pPr>
      <w:r>
        <w:rPr>
          <w:b w:val="0"/>
        </w:rPr>
        <w:t xml:space="preserve">The assumptions underlying </w:t>
      </w:r>
      <w:r w:rsidR="00082868" w:rsidRPr="00082868">
        <w:rPr>
          <w:b w:val="0"/>
        </w:rPr>
        <w:t xml:space="preserve">Budget </w:t>
      </w:r>
      <w:r w:rsidR="008E5F3B" w:rsidRPr="00082868">
        <w:rPr>
          <w:b w:val="0"/>
        </w:rPr>
        <w:t>20</w:t>
      </w:r>
      <w:r w:rsidR="008E5F3B">
        <w:rPr>
          <w:b w:val="0"/>
        </w:rPr>
        <w:t>25</w:t>
      </w:r>
      <w:r w:rsidR="008E5F3B" w:rsidRPr="00082868">
        <w:rPr>
          <w:b w:val="0"/>
        </w:rPr>
        <w:t xml:space="preserve"> </w:t>
      </w:r>
      <w:r w:rsidR="00082868" w:rsidRPr="00082868">
        <w:rPr>
          <w:b w:val="0"/>
        </w:rPr>
        <w:t xml:space="preserve">were developed </w:t>
      </w:r>
      <w:r w:rsidR="008E5F3B">
        <w:rPr>
          <w:b w:val="0"/>
        </w:rPr>
        <w:t>by</w:t>
      </w:r>
      <w:r w:rsidR="00082868" w:rsidRPr="00082868">
        <w:rPr>
          <w:b w:val="0"/>
        </w:rPr>
        <w:t xml:space="preserve"> Southern Company Services</w:t>
      </w:r>
      <w:r w:rsidR="00E07A1E">
        <w:rPr>
          <w:b w:val="0"/>
        </w:rPr>
        <w:t xml:space="preserve"> (“SCS”)</w:t>
      </w:r>
      <w:r w:rsidR="00082868" w:rsidRPr="00082868">
        <w:rPr>
          <w:b w:val="0"/>
        </w:rPr>
        <w:t xml:space="preserve">. </w:t>
      </w:r>
      <w:r w:rsidR="00B230D8" w:rsidRPr="00B230D8">
        <w:rPr>
          <w:b w:val="0"/>
        </w:rPr>
        <w:t xml:space="preserve">The forecast was developed through careful consideration and methodical examination of key demographic and economic variables that historically have been significant indicators of energy consumption. Major </w:t>
      </w:r>
      <w:r w:rsidR="00B230D8" w:rsidRPr="00B230D8">
        <w:rPr>
          <w:b w:val="0"/>
        </w:rPr>
        <w:lastRenderedPageBreak/>
        <w:t>assumptions include the economic outlook for the U</w:t>
      </w:r>
      <w:r w:rsidR="00AE1ABB">
        <w:rPr>
          <w:b w:val="0"/>
        </w:rPr>
        <w:t>.</w:t>
      </w:r>
      <w:r w:rsidR="00B230D8" w:rsidRPr="00B230D8">
        <w:rPr>
          <w:b w:val="0"/>
        </w:rPr>
        <w:t>S</w:t>
      </w:r>
      <w:r w:rsidR="00AE1ABB">
        <w:rPr>
          <w:b w:val="0"/>
        </w:rPr>
        <w:t>.</w:t>
      </w:r>
      <w:r w:rsidR="00B230D8" w:rsidRPr="00B230D8">
        <w:rPr>
          <w:b w:val="0"/>
        </w:rPr>
        <w:t xml:space="preserve"> and Georgia, energy prices, and market profiles for class end uses.</w:t>
      </w:r>
    </w:p>
    <w:p w14:paraId="49A7904E" w14:textId="77777777" w:rsidR="00082868" w:rsidRPr="00082868" w:rsidRDefault="00082868" w:rsidP="00A261A3">
      <w:pPr>
        <w:pStyle w:val="BodyText"/>
        <w:spacing w:after="0" w:line="360" w:lineRule="auto"/>
        <w:jc w:val="both"/>
        <w:rPr>
          <w:b w:val="0"/>
        </w:rPr>
      </w:pPr>
    </w:p>
    <w:p w14:paraId="3C57E929" w14:textId="570C5326" w:rsidR="00082868" w:rsidRPr="00082868" w:rsidRDefault="00B230D8" w:rsidP="00966D80">
      <w:pPr>
        <w:pStyle w:val="BodyText"/>
        <w:spacing w:line="360" w:lineRule="auto"/>
        <w:jc w:val="both"/>
        <w:rPr>
          <w:b w:val="0"/>
        </w:rPr>
      </w:pPr>
      <w:r w:rsidRPr="00B230D8">
        <w:rPr>
          <w:b w:val="0"/>
        </w:rPr>
        <w:t xml:space="preserve">The economic forecast </w:t>
      </w:r>
      <w:r w:rsidR="0067648F">
        <w:rPr>
          <w:b w:val="0"/>
        </w:rPr>
        <w:t>provid</w:t>
      </w:r>
      <w:r w:rsidRPr="00B230D8">
        <w:rPr>
          <w:b w:val="0"/>
        </w:rPr>
        <w:t xml:space="preserve">es a description of the economy for the next 20 years and includes many elements of the economy such as gross product, population, employment, commercial building square footage, and industrial production. The economic and demographic forecasts for Budget </w:t>
      </w:r>
      <w:r w:rsidR="009006D2" w:rsidRPr="00B230D8">
        <w:rPr>
          <w:b w:val="0"/>
        </w:rPr>
        <w:t>20</w:t>
      </w:r>
      <w:r w:rsidR="009006D2">
        <w:rPr>
          <w:b w:val="0"/>
        </w:rPr>
        <w:t>25</w:t>
      </w:r>
      <w:r w:rsidR="009006D2" w:rsidRPr="00B230D8">
        <w:rPr>
          <w:b w:val="0"/>
        </w:rPr>
        <w:t xml:space="preserve"> </w:t>
      </w:r>
      <w:r w:rsidRPr="00B230D8">
        <w:rPr>
          <w:b w:val="0"/>
        </w:rPr>
        <w:t xml:space="preserve">were obtained from </w:t>
      </w:r>
      <w:r w:rsidR="00181B35">
        <w:rPr>
          <w:b w:val="0"/>
        </w:rPr>
        <w:t>S&amp;P Global (formerly IHS Markit)</w:t>
      </w:r>
      <w:r w:rsidRPr="00B230D8">
        <w:rPr>
          <w:b w:val="0"/>
        </w:rPr>
        <w:t>, a national provider of economic data and forecasts.</w:t>
      </w:r>
      <w:r w:rsidR="00DA00AA">
        <w:rPr>
          <w:b w:val="0"/>
        </w:rPr>
        <w:t xml:space="preserve"> </w:t>
      </w:r>
    </w:p>
    <w:p w14:paraId="1398A828" w14:textId="77777777" w:rsidR="00082868" w:rsidRPr="00082868" w:rsidRDefault="00082868" w:rsidP="00A261A3">
      <w:pPr>
        <w:pStyle w:val="BodyText"/>
        <w:spacing w:after="0" w:line="360" w:lineRule="auto"/>
        <w:jc w:val="both"/>
        <w:rPr>
          <w:b w:val="0"/>
        </w:rPr>
      </w:pPr>
    </w:p>
    <w:p w14:paraId="7E9DCA3B" w14:textId="523733D6" w:rsidR="00082868" w:rsidRPr="00082868" w:rsidRDefault="00B230D8" w:rsidP="00EA0364">
      <w:pPr>
        <w:pStyle w:val="BodyText"/>
        <w:spacing w:after="0" w:line="360" w:lineRule="auto"/>
        <w:jc w:val="both"/>
        <w:rPr>
          <w:b w:val="0"/>
        </w:rPr>
      </w:pPr>
      <w:r w:rsidRPr="00B230D8">
        <w:rPr>
          <w:b w:val="0"/>
        </w:rPr>
        <w:t>The models used to produce both the short- and long-term energy forecasts include a variety of economic and demographic variables as drivers of energy use. Weather, income, employment, historical load data, and industry standards for electrical equipment are</w:t>
      </w:r>
      <w:r w:rsidR="00FC7235">
        <w:rPr>
          <w:b w:val="0"/>
        </w:rPr>
        <w:t xml:space="preserve"> </w:t>
      </w:r>
      <w:r w:rsidRPr="00B230D8">
        <w:rPr>
          <w:b w:val="0"/>
        </w:rPr>
        <w:t xml:space="preserve">among the variables used in the forecasting models. </w:t>
      </w:r>
      <w:bookmarkStart w:id="181" w:name="_Hlk531090493"/>
      <w:r w:rsidRPr="00B230D8">
        <w:rPr>
          <w:b w:val="0"/>
        </w:rPr>
        <w:t>“Normal” weather is defined as the average of Cooling Degree Hours (“CDH”) and Heating Degree Hours (“HDH”) from 1980-</w:t>
      </w:r>
      <w:r w:rsidR="009006D2" w:rsidRPr="00B230D8">
        <w:rPr>
          <w:b w:val="0"/>
        </w:rPr>
        <w:t>20</w:t>
      </w:r>
      <w:r w:rsidR="009006D2">
        <w:rPr>
          <w:b w:val="0"/>
        </w:rPr>
        <w:t>23</w:t>
      </w:r>
      <w:r w:rsidRPr="00B230D8">
        <w:rPr>
          <w:b w:val="0"/>
        </w:rPr>
        <w:t>.</w:t>
      </w:r>
      <w:bookmarkEnd w:id="181"/>
    </w:p>
    <w:p w14:paraId="066441F5" w14:textId="77777777" w:rsidR="00082868" w:rsidRPr="00082868" w:rsidRDefault="00082868" w:rsidP="008942BE">
      <w:pPr>
        <w:pStyle w:val="BodyText"/>
        <w:spacing w:after="0" w:line="360" w:lineRule="auto"/>
        <w:jc w:val="both"/>
        <w:rPr>
          <w:b w:val="0"/>
        </w:rPr>
      </w:pPr>
    </w:p>
    <w:p w14:paraId="4F4305AE" w14:textId="503C8B9D" w:rsidR="00082868" w:rsidRPr="00082868" w:rsidRDefault="00082868" w:rsidP="00EA0364">
      <w:pPr>
        <w:pStyle w:val="BodyText"/>
        <w:spacing w:after="0" w:line="360" w:lineRule="auto"/>
        <w:jc w:val="both"/>
        <w:rPr>
          <w:b w:val="0"/>
        </w:rPr>
      </w:pPr>
      <w:r w:rsidRPr="00082868">
        <w:rPr>
          <w:b w:val="0"/>
        </w:rPr>
        <w:t>Short-term energy projections</w:t>
      </w:r>
      <w:r w:rsidR="00BA3EA9">
        <w:rPr>
          <w:b w:val="0"/>
        </w:rPr>
        <w:t xml:space="preserve"> for </w:t>
      </w:r>
      <w:r w:rsidR="009006D2">
        <w:rPr>
          <w:b w:val="0"/>
        </w:rPr>
        <w:t xml:space="preserve">the </w:t>
      </w:r>
      <w:r w:rsidR="002F741C">
        <w:rPr>
          <w:b w:val="0"/>
        </w:rPr>
        <w:t>r</w:t>
      </w:r>
      <w:r w:rsidR="00BA3EA9">
        <w:rPr>
          <w:b w:val="0"/>
        </w:rPr>
        <w:t xml:space="preserve">esidential, </w:t>
      </w:r>
      <w:r w:rsidR="002F741C">
        <w:rPr>
          <w:b w:val="0"/>
        </w:rPr>
        <w:t>c</w:t>
      </w:r>
      <w:r w:rsidR="00BA3EA9">
        <w:rPr>
          <w:b w:val="0"/>
        </w:rPr>
        <w:t xml:space="preserve">ommercial, </w:t>
      </w:r>
      <w:r w:rsidR="002F741C">
        <w:rPr>
          <w:b w:val="0"/>
        </w:rPr>
        <w:t>i</w:t>
      </w:r>
      <w:r w:rsidR="00BA3EA9">
        <w:rPr>
          <w:b w:val="0"/>
        </w:rPr>
        <w:t>ndustrial</w:t>
      </w:r>
      <w:r w:rsidR="009006D2">
        <w:rPr>
          <w:b w:val="0"/>
        </w:rPr>
        <w:t>, governmental lighting</w:t>
      </w:r>
      <w:r w:rsidR="00BA3EA9">
        <w:rPr>
          <w:b w:val="0"/>
        </w:rPr>
        <w:t xml:space="preserve"> and MARTA</w:t>
      </w:r>
      <w:r w:rsidRPr="00082868">
        <w:rPr>
          <w:b w:val="0"/>
        </w:rPr>
        <w:t xml:space="preserve"> are based on linear regression models. </w:t>
      </w:r>
      <w:r w:rsidR="003748FA">
        <w:rPr>
          <w:b w:val="0"/>
        </w:rPr>
        <w:t xml:space="preserve">Except for MARTA, which is a single customer, projections of customers by class also utilize linear regression </w:t>
      </w:r>
      <w:r w:rsidR="00181B35">
        <w:rPr>
          <w:b w:val="0"/>
        </w:rPr>
        <w:t>methods</w:t>
      </w:r>
      <w:r w:rsidR="003748FA">
        <w:rPr>
          <w:b w:val="0"/>
        </w:rPr>
        <w:t>.</w:t>
      </w:r>
      <w:r w:rsidR="00616255">
        <w:rPr>
          <w:b w:val="0"/>
        </w:rPr>
        <w:t xml:space="preserve"> </w:t>
      </w:r>
      <w:r w:rsidRPr="00082868">
        <w:rPr>
          <w:b w:val="0"/>
        </w:rPr>
        <w:t>The details of these regression models can be found in Section 4.</w:t>
      </w:r>
    </w:p>
    <w:p w14:paraId="593DCE75" w14:textId="77777777" w:rsidR="00082868" w:rsidRPr="00082868" w:rsidRDefault="00082868" w:rsidP="001C2087">
      <w:pPr>
        <w:pStyle w:val="BodyText"/>
        <w:spacing w:after="0" w:line="360" w:lineRule="auto"/>
        <w:jc w:val="both"/>
        <w:rPr>
          <w:b w:val="0"/>
        </w:rPr>
      </w:pPr>
    </w:p>
    <w:p w14:paraId="33264E13" w14:textId="18614250" w:rsidR="00082868" w:rsidRPr="00082868" w:rsidRDefault="003E1668" w:rsidP="001C2087">
      <w:pPr>
        <w:pStyle w:val="BodyText"/>
        <w:spacing w:after="0" w:line="360" w:lineRule="auto"/>
        <w:jc w:val="both"/>
        <w:rPr>
          <w:b w:val="0"/>
        </w:rPr>
      </w:pPr>
      <w:r w:rsidRPr="001C2087">
        <w:rPr>
          <w:b w:val="0"/>
          <w:bCs/>
        </w:rPr>
        <w:t xml:space="preserve">Except for governmental lighting and MARTA, the long-term forecast models are end-use models. The </w:t>
      </w:r>
      <w:r>
        <w:rPr>
          <w:b w:val="0"/>
          <w:bCs/>
        </w:rPr>
        <w:t>Budget 2025</w:t>
      </w:r>
      <w:r w:rsidRPr="001C2087">
        <w:rPr>
          <w:b w:val="0"/>
          <w:bCs/>
        </w:rPr>
        <w:t xml:space="preserve"> </w:t>
      </w:r>
      <w:r>
        <w:rPr>
          <w:b w:val="0"/>
          <w:bCs/>
        </w:rPr>
        <w:t>f</w:t>
      </w:r>
      <w:r w:rsidRPr="001C2087">
        <w:rPr>
          <w:b w:val="0"/>
          <w:bCs/>
        </w:rPr>
        <w:t xml:space="preserve">orecast uses the Load Management Analysis and Planning (“LoadMAP”) model to produce the long-term residential, commercial, and industrial forecasts. The governmental lighting and MARTA long-term forecasts use the </w:t>
      </w:r>
      <w:r w:rsidR="00B27B9C">
        <w:rPr>
          <w:b w:val="0"/>
          <w:bCs/>
        </w:rPr>
        <w:t>same</w:t>
      </w:r>
      <w:r w:rsidRPr="001C2087">
        <w:rPr>
          <w:b w:val="0"/>
          <w:bCs/>
        </w:rPr>
        <w:t xml:space="preserve"> models developed for the short-term forecast.</w:t>
      </w:r>
      <w:r w:rsidR="00B230D8" w:rsidRPr="00B230D8">
        <w:rPr>
          <w:b w:val="0"/>
        </w:rPr>
        <w:t xml:space="preserve"> The LoadMAP tool is discussed in greater detail in Section 5</w:t>
      </w:r>
      <w:r w:rsidR="000044DD">
        <w:rPr>
          <w:b w:val="0"/>
        </w:rPr>
        <w:t>.</w:t>
      </w:r>
      <w:r w:rsidR="00616255">
        <w:rPr>
          <w:b w:val="0"/>
        </w:rPr>
        <w:t xml:space="preserve"> </w:t>
      </w:r>
      <w:r w:rsidR="00B230D8" w:rsidRPr="00B230D8">
        <w:rPr>
          <w:b w:val="0"/>
        </w:rPr>
        <w:t xml:space="preserve"> </w:t>
      </w:r>
    </w:p>
    <w:p w14:paraId="7EEBF01E" w14:textId="77777777" w:rsidR="00082868" w:rsidRPr="00082868" w:rsidRDefault="00082868" w:rsidP="00EA0364">
      <w:pPr>
        <w:pStyle w:val="BodyText"/>
        <w:spacing w:after="0" w:line="360" w:lineRule="auto"/>
        <w:jc w:val="both"/>
        <w:rPr>
          <w:b w:val="0"/>
        </w:rPr>
      </w:pPr>
    </w:p>
    <w:p w14:paraId="25BFF0C5" w14:textId="1AEC594C" w:rsidR="001F434C" w:rsidRDefault="001F434C" w:rsidP="00EA0364">
      <w:pPr>
        <w:pStyle w:val="BodyText"/>
        <w:spacing w:after="0" w:line="360" w:lineRule="auto"/>
        <w:jc w:val="both"/>
        <w:rPr>
          <w:b w:val="0"/>
        </w:rPr>
      </w:pPr>
      <w:r w:rsidRPr="001F434C">
        <w:rPr>
          <w:b w:val="0"/>
        </w:rPr>
        <w:t xml:space="preserve">The results of the short-term and long-term models are integrated into a unified forecast. In Budget </w:t>
      </w:r>
      <w:r w:rsidR="003748FA" w:rsidRPr="001F434C">
        <w:rPr>
          <w:b w:val="0"/>
        </w:rPr>
        <w:t>20</w:t>
      </w:r>
      <w:r w:rsidR="003748FA">
        <w:rPr>
          <w:b w:val="0"/>
        </w:rPr>
        <w:t>25</w:t>
      </w:r>
      <w:r w:rsidRPr="001F434C">
        <w:rPr>
          <w:b w:val="0"/>
        </w:rPr>
        <w:t xml:space="preserve">, the short-term forecast results were used for the years </w:t>
      </w:r>
      <w:r w:rsidR="003748FA" w:rsidRPr="001F434C">
        <w:rPr>
          <w:b w:val="0"/>
        </w:rPr>
        <w:t>20</w:t>
      </w:r>
      <w:r w:rsidR="003748FA">
        <w:rPr>
          <w:b w:val="0"/>
        </w:rPr>
        <w:t>25</w:t>
      </w:r>
      <w:r w:rsidR="003748FA" w:rsidRPr="001F434C">
        <w:rPr>
          <w:b w:val="0"/>
        </w:rPr>
        <w:t xml:space="preserve"> </w:t>
      </w:r>
      <w:r w:rsidRPr="001F434C">
        <w:rPr>
          <w:b w:val="0"/>
        </w:rPr>
        <w:t xml:space="preserve">through </w:t>
      </w:r>
      <w:r w:rsidR="003748FA" w:rsidRPr="001F434C">
        <w:rPr>
          <w:b w:val="0"/>
        </w:rPr>
        <w:t>20</w:t>
      </w:r>
      <w:r w:rsidR="003748FA">
        <w:rPr>
          <w:b w:val="0"/>
        </w:rPr>
        <w:t>29</w:t>
      </w:r>
      <w:r w:rsidR="003748FA" w:rsidRPr="001F434C">
        <w:rPr>
          <w:b w:val="0"/>
        </w:rPr>
        <w:t xml:space="preserve"> </w:t>
      </w:r>
      <w:r w:rsidRPr="001F434C">
        <w:rPr>
          <w:b w:val="0"/>
        </w:rPr>
        <w:t xml:space="preserve">and the long-term results </w:t>
      </w:r>
      <w:r w:rsidR="00BA3EA9">
        <w:rPr>
          <w:b w:val="0"/>
        </w:rPr>
        <w:t>were used for</w:t>
      </w:r>
      <w:r w:rsidR="00A74EAC">
        <w:rPr>
          <w:b w:val="0"/>
        </w:rPr>
        <w:t xml:space="preserve"> </w:t>
      </w:r>
      <w:r w:rsidR="00F217FB" w:rsidRPr="001F434C">
        <w:rPr>
          <w:b w:val="0"/>
        </w:rPr>
        <w:t>20</w:t>
      </w:r>
      <w:r w:rsidR="00F217FB">
        <w:rPr>
          <w:b w:val="0"/>
        </w:rPr>
        <w:t>30</w:t>
      </w:r>
      <w:r w:rsidR="00F217FB" w:rsidRPr="001F434C">
        <w:rPr>
          <w:b w:val="0"/>
        </w:rPr>
        <w:t xml:space="preserve"> </w:t>
      </w:r>
      <w:r w:rsidRPr="001F434C">
        <w:rPr>
          <w:b w:val="0"/>
        </w:rPr>
        <w:t xml:space="preserve">to </w:t>
      </w:r>
      <w:r w:rsidR="00F217FB" w:rsidRPr="001F434C">
        <w:rPr>
          <w:b w:val="0"/>
        </w:rPr>
        <w:t>20</w:t>
      </w:r>
      <w:r w:rsidR="00F217FB">
        <w:rPr>
          <w:b w:val="0"/>
        </w:rPr>
        <w:t>44</w:t>
      </w:r>
      <w:r w:rsidRPr="001F434C">
        <w:rPr>
          <w:b w:val="0"/>
        </w:rPr>
        <w:t>. Additional information on methodology can be found in Section 3</w:t>
      </w:r>
      <w:r w:rsidR="00082868" w:rsidRPr="00082868">
        <w:rPr>
          <w:b w:val="0"/>
        </w:rPr>
        <w:t>.</w:t>
      </w:r>
    </w:p>
    <w:p w14:paraId="4F8E03CA" w14:textId="77777777" w:rsidR="00FC7235" w:rsidRDefault="00FC7235" w:rsidP="00EA0364">
      <w:pPr>
        <w:pStyle w:val="BodyText"/>
        <w:spacing w:after="0" w:line="360" w:lineRule="auto"/>
        <w:jc w:val="both"/>
        <w:rPr>
          <w:b w:val="0"/>
        </w:rPr>
      </w:pPr>
    </w:p>
    <w:p w14:paraId="2A8445B5" w14:textId="530C3069" w:rsidR="001F434C" w:rsidRDefault="001F434C" w:rsidP="00A63D21">
      <w:pPr>
        <w:pStyle w:val="BodyText"/>
        <w:spacing w:after="0" w:line="360" w:lineRule="auto"/>
        <w:jc w:val="both"/>
        <w:rPr>
          <w:b w:val="0"/>
        </w:rPr>
      </w:pPr>
      <w:r w:rsidRPr="001F434C">
        <w:rPr>
          <w:b w:val="0"/>
        </w:rPr>
        <w:t xml:space="preserve">Budget </w:t>
      </w:r>
      <w:r w:rsidR="00F217FB" w:rsidRPr="001F434C">
        <w:rPr>
          <w:b w:val="0"/>
        </w:rPr>
        <w:t>20</w:t>
      </w:r>
      <w:r w:rsidR="00F217FB">
        <w:rPr>
          <w:b w:val="0"/>
        </w:rPr>
        <w:t>25</w:t>
      </w:r>
      <w:r w:rsidR="00F217FB" w:rsidRPr="001F434C">
        <w:rPr>
          <w:b w:val="0"/>
        </w:rPr>
        <w:t xml:space="preserve"> </w:t>
      </w:r>
      <w:r w:rsidRPr="001F434C">
        <w:rPr>
          <w:b w:val="0"/>
        </w:rPr>
        <w:t xml:space="preserve">uses </w:t>
      </w:r>
      <w:r w:rsidR="003E1668" w:rsidRPr="00A63D21">
        <w:rPr>
          <w:b w:val="0"/>
          <w:bCs/>
        </w:rPr>
        <w:t>hourly Metrix Peak Demand models (“MPD”) for each class to predict Georgia Power’s weather-normal peak demands over the 202</w:t>
      </w:r>
      <w:r w:rsidR="003E1668">
        <w:rPr>
          <w:b w:val="0"/>
          <w:bCs/>
        </w:rPr>
        <w:t>5</w:t>
      </w:r>
      <w:r w:rsidR="003E1668" w:rsidRPr="00A63D21">
        <w:rPr>
          <w:b w:val="0"/>
          <w:bCs/>
        </w:rPr>
        <w:t xml:space="preserve"> – 204</w:t>
      </w:r>
      <w:r w:rsidR="003E1668">
        <w:rPr>
          <w:b w:val="0"/>
          <w:bCs/>
        </w:rPr>
        <w:t>4</w:t>
      </w:r>
      <w:r w:rsidR="003E1668" w:rsidRPr="00A63D21">
        <w:rPr>
          <w:b w:val="0"/>
          <w:bCs/>
        </w:rPr>
        <w:t xml:space="preserve"> forecast period.</w:t>
      </w:r>
      <w:r w:rsidRPr="001F434C">
        <w:rPr>
          <w:b w:val="0"/>
        </w:rPr>
        <w:t xml:space="preserve"> The methodology and assumptions used in the </w:t>
      </w:r>
      <w:r w:rsidR="00BA3EA9">
        <w:rPr>
          <w:b w:val="0"/>
        </w:rPr>
        <w:t>peak demand models</w:t>
      </w:r>
      <w:r w:rsidRPr="001F434C">
        <w:rPr>
          <w:b w:val="0"/>
        </w:rPr>
        <w:t xml:space="preserve"> are discussed in greater detail in Section 6</w:t>
      </w:r>
      <w:r>
        <w:rPr>
          <w:b w:val="0"/>
        </w:rPr>
        <w:t>.</w:t>
      </w:r>
    </w:p>
    <w:p w14:paraId="0BEE974F" w14:textId="77777777" w:rsidR="00F217FB" w:rsidRDefault="00F217FB" w:rsidP="00A63D21">
      <w:pPr>
        <w:pStyle w:val="BodyText"/>
        <w:spacing w:after="0" w:line="360" w:lineRule="auto"/>
        <w:jc w:val="both"/>
        <w:rPr>
          <w:b w:val="0"/>
        </w:rPr>
      </w:pPr>
    </w:p>
    <w:p w14:paraId="39571094" w14:textId="19F3B65B" w:rsidR="00F217FB" w:rsidRPr="00082868" w:rsidRDefault="00F64941" w:rsidP="0018208F">
      <w:pPr>
        <w:pStyle w:val="BodyText"/>
        <w:spacing w:after="0" w:line="360" w:lineRule="auto"/>
        <w:jc w:val="both"/>
        <w:rPr>
          <w:b w:val="0"/>
        </w:rPr>
      </w:pPr>
      <w:r>
        <w:rPr>
          <w:b w:val="0"/>
        </w:rPr>
        <w:t xml:space="preserve">Budget 2025 </w:t>
      </w:r>
      <w:r w:rsidR="002B0EA0">
        <w:rPr>
          <w:b w:val="0"/>
        </w:rPr>
        <w:t xml:space="preserve">utilizes the </w:t>
      </w:r>
      <w:r w:rsidR="00B52586">
        <w:rPr>
          <w:b w:val="0"/>
        </w:rPr>
        <w:t>Load Realization Model (“LRM”)</w:t>
      </w:r>
      <w:r w:rsidR="002B0EA0">
        <w:rPr>
          <w:b w:val="0"/>
        </w:rPr>
        <w:t xml:space="preserve"> to estimate how new large loads will materialize over the forecast horizon. The LRM is a probabilistic model that utilizes Monte Carlo </w:t>
      </w:r>
      <w:r w:rsidR="001437A7">
        <w:rPr>
          <w:b w:val="0"/>
        </w:rPr>
        <w:t xml:space="preserve">simulation </w:t>
      </w:r>
      <w:r w:rsidR="002B0EA0">
        <w:rPr>
          <w:b w:val="0"/>
        </w:rPr>
        <w:t xml:space="preserve">to estimate expected loads </w:t>
      </w:r>
      <w:r w:rsidR="00D60220">
        <w:rPr>
          <w:b w:val="0"/>
        </w:rPr>
        <w:t xml:space="preserve">for </w:t>
      </w:r>
      <w:r w:rsidR="002B0EA0">
        <w:rPr>
          <w:b w:val="0"/>
        </w:rPr>
        <w:t xml:space="preserve">new large </w:t>
      </w:r>
      <w:r w:rsidR="00374005">
        <w:rPr>
          <w:b w:val="0"/>
        </w:rPr>
        <w:t>load</w:t>
      </w:r>
      <w:r w:rsidR="002B0EA0">
        <w:rPr>
          <w:b w:val="0"/>
        </w:rPr>
        <w:t xml:space="preserve"> customers. These estimates are used as external adjustments </w:t>
      </w:r>
      <w:r w:rsidR="002B0EA0">
        <w:rPr>
          <w:b w:val="0"/>
        </w:rPr>
        <w:lastRenderedPageBreak/>
        <w:t xml:space="preserve">to the baseline </w:t>
      </w:r>
      <w:r w:rsidR="00797F67">
        <w:rPr>
          <w:b w:val="0"/>
        </w:rPr>
        <w:t xml:space="preserve">commercial and industrial </w:t>
      </w:r>
      <w:r w:rsidR="002B0EA0">
        <w:rPr>
          <w:b w:val="0"/>
        </w:rPr>
        <w:t>forecast</w:t>
      </w:r>
      <w:r w:rsidR="00797F67">
        <w:rPr>
          <w:b w:val="0"/>
        </w:rPr>
        <w:t>s</w:t>
      </w:r>
      <w:r w:rsidR="002B0EA0">
        <w:rPr>
          <w:b w:val="0"/>
        </w:rPr>
        <w:t xml:space="preserve">. A description of the model and assumptions can be found in Section 7. </w:t>
      </w:r>
    </w:p>
    <w:p w14:paraId="1786FE52" w14:textId="77777777" w:rsidR="00082868" w:rsidRPr="00082868" w:rsidRDefault="00082868" w:rsidP="00966D80">
      <w:pPr>
        <w:pStyle w:val="BodyText"/>
        <w:spacing w:line="360" w:lineRule="auto"/>
        <w:jc w:val="both"/>
        <w:rPr>
          <w:b w:val="0"/>
        </w:rPr>
      </w:pPr>
    </w:p>
    <w:p w14:paraId="0B929582" w14:textId="77777777" w:rsidR="00082868" w:rsidRPr="00082868" w:rsidRDefault="00082868" w:rsidP="00082868">
      <w:pPr>
        <w:pStyle w:val="Heading1"/>
        <w:jc w:val="left"/>
        <w:rPr>
          <w:rFonts w:ascii="Arial" w:hAnsi="Arial" w:cs="Arial"/>
          <w:b/>
          <w:color w:val="auto"/>
        </w:rPr>
      </w:pPr>
      <w:bookmarkStart w:id="182" w:name="_Toc497031862"/>
      <w:bookmarkStart w:id="183" w:name="_Toc499102663"/>
      <w:bookmarkStart w:id="184" w:name="_Toc503665686"/>
      <w:bookmarkStart w:id="185" w:name="_Toc111952986"/>
      <w:bookmarkStart w:id="186" w:name="_Toc347120364"/>
      <w:bookmarkStart w:id="187" w:name="_Toc188257124"/>
      <w:bookmarkStart w:id="188" w:name="_Toc188257339"/>
      <w:bookmarkStart w:id="189" w:name="_Toc188257563"/>
      <w:bookmarkStart w:id="190" w:name="_Toc189162572"/>
      <w:r w:rsidRPr="00082868">
        <w:rPr>
          <w:rFonts w:ascii="Arial" w:hAnsi="Arial" w:cs="Arial"/>
          <w:b/>
          <w:color w:val="auto"/>
        </w:rPr>
        <w:t>1.5</w:t>
      </w:r>
      <w:r w:rsidRPr="00082868">
        <w:rPr>
          <w:rFonts w:ascii="Arial" w:hAnsi="Arial" w:cs="Arial"/>
          <w:b/>
          <w:color w:val="auto"/>
        </w:rPr>
        <w:tab/>
        <w:t>DEMAND SIDE PROGRAMS</w:t>
      </w:r>
      <w:bookmarkEnd w:id="182"/>
      <w:bookmarkEnd w:id="183"/>
      <w:bookmarkEnd w:id="184"/>
      <w:bookmarkEnd w:id="185"/>
      <w:bookmarkEnd w:id="186"/>
      <w:bookmarkEnd w:id="187"/>
      <w:bookmarkEnd w:id="188"/>
      <w:bookmarkEnd w:id="189"/>
      <w:bookmarkEnd w:id="190"/>
    </w:p>
    <w:p w14:paraId="117E4238" w14:textId="77777777" w:rsidR="00082868" w:rsidRDefault="00082868" w:rsidP="00BB1352">
      <w:pPr>
        <w:pStyle w:val="BodyText"/>
        <w:keepNext/>
        <w:keepLines/>
        <w:jc w:val="left"/>
        <w:rPr>
          <w:b w:val="0"/>
        </w:rPr>
      </w:pPr>
    </w:p>
    <w:p w14:paraId="33BF1558" w14:textId="42A6B98F" w:rsidR="00082868" w:rsidRPr="00082868" w:rsidRDefault="00082868" w:rsidP="00BB1352">
      <w:pPr>
        <w:pStyle w:val="BodyText"/>
        <w:keepNext/>
        <w:keepLines/>
        <w:spacing w:after="0" w:line="360" w:lineRule="auto"/>
        <w:jc w:val="both"/>
        <w:rPr>
          <w:b w:val="0"/>
        </w:rPr>
      </w:pPr>
      <w:bookmarkStart w:id="191" w:name="_Hlk534287009"/>
      <w:r w:rsidRPr="00082868">
        <w:rPr>
          <w:b w:val="0"/>
        </w:rPr>
        <w:t xml:space="preserve">Georgia Power offers </w:t>
      </w:r>
      <w:r w:rsidR="00C862EE">
        <w:rPr>
          <w:b w:val="0"/>
        </w:rPr>
        <w:t>energy efficiency</w:t>
      </w:r>
      <w:r w:rsidR="00C862EE" w:rsidRPr="00082868">
        <w:rPr>
          <w:b w:val="0"/>
        </w:rPr>
        <w:t xml:space="preserve"> </w:t>
      </w:r>
      <w:r w:rsidRPr="00082868">
        <w:rPr>
          <w:b w:val="0"/>
        </w:rPr>
        <w:t xml:space="preserve">programs to promote energy savings to customers. </w:t>
      </w:r>
      <w:bookmarkEnd w:id="191"/>
      <w:r w:rsidRPr="00082868">
        <w:rPr>
          <w:b w:val="0"/>
        </w:rPr>
        <w:t xml:space="preserve">These programs have existed for </w:t>
      </w:r>
      <w:r w:rsidR="001F1068">
        <w:rPr>
          <w:b w:val="0"/>
        </w:rPr>
        <w:t xml:space="preserve">many </w:t>
      </w:r>
      <w:r w:rsidR="00DF667F">
        <w:rPr>
          <w:b w:val="0"/>
        </w:rPr>
        <w:t>years</w:t>
      </w:r>
      <w:r w:rsidRPr="00082868">
        <w:rPr>
          <w:b w:val="0"/>
        </w:rPr>
        <w:t>, and the benefits from the</w:t>
      </w:r>
      <w:r w:rsidR="00DF667F">
        <w:rPr>
          <w:b w:val="0"/>
        </w:rPr>
        <w:t>se</w:t>
      </w:r>
      <w:r w:rsidRPr="00082868">
        <w:rPr>
          <w:b w:val="0"/>
        </w:rPr>
        <w:t xml:space="preserve"> programs are embedded in Georgia Power’s historical load</w:t>
      </w:r>
      <w:r w:rsidR="00FC7235">
        <w:rPr>
          <w:b w:val="0"/>
        </w:rPr>
        <w:t>s</w:t>
      </w:r>
      <w:r w:rsidRPr="00082868">
        <w:rPr>
          <w:b w:val="0"/>
        </w:rPr>
        <w:t xml:space="preserve"> and energy sales. The forecasts produced using historical energy data, therefore, have an embedded effect propagated throughout the forecast. Other conservation measures undertaken by customers, whether explicitly induced by a marketing program or proactively undertaken by a customer for other reason</w:t>
      </w:r>
      <w:r w:rsidR="00342821">
        <w:rPr>
          <w:b w:val="0"/>
        </w:rPr>
        <w:t>s</w:t>
      </w:r>
      <w:r w:rsidRPr="00082868">
        <w:rPr>
          <w:b w:val="0"/>
        </w:rPr>
        <w:t xml:space="preserve">, will </w:t>
      </w:r>
      <w:r w:rsidR="00DF667F">
        <w:rPr>
          <w:b w:val="0"/>
        </w:rPr>
        <w:t xml:space="preserve">also </w:t>
      </w:r>
      <w:r w:rsidRPr="00082868">
        <w:rPr>
          <w:b w:val="0"/>
        </w:rPr>
        <w:t>become embedded in the historical energy data and will be implicitly propagated throughout the forecast.</w:t>
      </w:r>
      <w:r w:rsidR="007944C2">
        <w:rPr>
          <w:b w:val="0"/>
        </w:rPr>
        <w:t xml:space="preserve"> New or ongoing Georgia Power programs that are not fully reflected in historical data are incorporated into the forecast as external adjustments.</w:t>
      </w:r>
    </w:p>
    <w:p w14:paraId="44A290E2" w14:textId="77777777" w:rsidR="00082868" w:rsidRPr="00082868" w:rsidRDefault="00082868" w:rsidP="003B4CE1">
      <w:pPr>
        <w:pStyle w:val="BodyText"/>
        <w:spacing w:after="0" w:line="360" w:lineRule="auto"/>
        <w:jc w:val="left"/>
        <w:rPr>
          <w:b w:val="0"/>
        </w:rPr>
      </w:pPr>
    </w:p>
    <w:p w14:paraId="2B9D059F" w14:textId="7226FAC0" w:rsidR="00082868" w:rsidRPr="00082868" w:rsidRDefault="00082868" w:rsidP="00966D80">
      <w:pPr>
        <w:pStyle w:val="BodyText"/>
        <w:spacing w:line="360" w:lineRule="auto"/>
        <w:jc w:val="both"/>
        <w:rPr>
          <w:b w:val="0"/>
        </w:rPr>
      </w:pPr>
      <w:bookmarkStart w:id="192" w:name="_Hlk529718985"/>
      <w:bookmarkStart w:id="193" w:name="_Hlk85558017"/>
      <w:r w:rsidRPr="003D6CE1">
        <w:rPr>
          <w:b w:val="0"/>
        </w:rPr>
        <w:t>An additional type of demand</w:t>
      </w:r>
      <w:r w:rsidR="00A123A0" w:rsidRPr="003D6CE1">
        <w:rPr>
          <w:b w:val="0"/>
        </w:rPr>
        <w:t>-</w:t>
      </w:r>
      <w:r w:rsidRPr="003D6CE1">
        <w:rPr>
          <w:b w:val="0"/>
        </w:rPr>
        <w:t xml:space="preserve">side impact </w:t>
      </w:r>
      <w:r w:rsidR="009C47ED">
        <w:rPr>
          <w:b w:val="0"/>
        </w:rPr>
        <w:t xml:space="preserve">considered </w:t>
      </w:r>
      <w:r w:rsidRPr="003D6CE1">
        <w:rPr>
          <w:b w:val="0"/>
        </w:rPr>
        <w:t xml:space="preserve">in Budget </w:t>
      </w:r>
      <w:r w:rsidR="00DA3190" w:rsidRPr="003D6CE1">
        <w:rPr>
          <w:b w:val="0"/>
        </w:rPr>
        <w:t>20</w:t>
      </w:r>
      <w:r w:rsidR="00DA3190">
        <w:rPr>
          <w:b w:val="0"/>
        </w:rPr>
        <w:t>25</w:t>
      </w:r>
      <w:r w:rsidR="00DA3190" w:rsidRPr="003D6CE1">
        <w:rPr>
          <w:b w:val="0"/>
        </w:rPr>
        <w:t xml:space="preserve"> </w:t>
      </w:r>
      <w:r w:rsidRPr="003D6CE1">
        <w:rPr>
          <w:b w:val="0"/>
        </w:rPr>
        <w:t>is the adopted efficiency standards in the end-use models</w:t>
      </w:r>
      <w:r w:rsidR="004462EC">
        <w:rPr>
          <w:b w:val="0"/>
        </w:rPr>
        <w:t xml:space="preserve"> used </w:t>
      </w:r>
      <w:r w:rsidR="00EB56DC">
        <w:rPr>
          <w:b w:val="0"/>
        </w:rPr>
        <w:t>for</w:t>
      </w:r>
      <w:r w:rsidR="004462EC">
        <w:rPr>
          <w:b w:val="0"/>
        </w:rPr>
        <w:t xml:space="preserve"> the long-term forecast</w:t>
      </w:r>
      <w:r w:rsidRPr="003D6CE1">
        <w:rPr>
          <w:b w:val="0"/>
        </w:rPr>
        <w:t>. These efficiency standards represent the continuing trend of increasing end-use efficiency driven in part by programs such as ENERGY STAR</w:t>
      </w:r>
      <w:r w:rsidR="00A63028" w:rsidRPr="00B8381D">
        <w:rPr>
          <w:b w:val="0"/>
          <w:vertAlign w:val="superscript"/>
        </w:rPr>
        <w:t>®</w:t>
      </w:r>
      <w:r w:rsidRPr="003D6CE1">
        <w:rPr>
          <w:b w:val="0"/>
        </w:rPr>
        <w:t>.</w:t>
      </w:r>
      <w:bookmarkEnd w:id="192"/>
    </w:p>
    <w:bookmarkEnd w:id="193"/>
    <w:p w14:paraId="4C676172" w14:textId="77777777" w:rsidR="00082868" w:rsidRPr="00082868" w:rsidRDefault="00082868" w:rsidP="00BB1352">
      <w:pPr>
        <w:pStyle w:val="BodyText"/>
        <w:spacing w:after="0" w:line="360" w:lineRule="auto"/>
        <w:jc w:val="both"/>
        <w:rPr>
          <w:b w:val="0"/>
        </w:rPr>
      </w:pPr>
    </w:p>
    <w:p w14:paraId="4A44E37C" w14:textId="77777777" w:rsidR="00082868" w:rsidRPr="00082868" w:rsidRDefault="00082868" w:rsidP="00082868">
      <w:pPr>
        <w:pStyle w:val="Heading1"/>
        <w:jc w:val="left"/>
        <w:rPr>
          <w:rFonts w:ascii="Arial" w:hAnsi="Arial" w:cs="Arial"/>
          <w:b/>
          <w:color w:val="auto"/>
        </w:rPr>
      </w:pPr>
      <w:bookmarkStart w:id="194" w:name="_Toc347120365"/>
      <w:bookmarkStart w:id="195" w:name="_Toc188257125"/>
      <w:bookmarkStart w:id="196" w:name="_Toc188257340"/>
      <w:bookmarkStart w:id="197" w:name="_Toc188257564"/>
      <w:bookmarkStart w:id="198" w:name="_Toc189162573"/>
      <w:r w:rsidRPr="00082868">
        <w:rPr>
          <w:rFonts w:ascii="Arial" w:hAnsi="Arial" w:cs="Arial"/>
          <w:b/>
          <w:color w:val="auto"/>
        </w:rPr>
        <w:t>1.6</w:t>
      </w:r>
      <w:r w:rsidRPr="00082868">
        <w:rPr>
          <w:rFonts w:ascii="Arial" w:hAnsi="Arial" w:cs="Arial"/>
          <w:b/>
          <w:color w:val="auto"/>
        </w:rPr>
        <w:tab/>
        <w:t>SENSITIVITIES AND SCENARIOS</w:t>
      </w:r>
      <w:bookmarkEnd w:id="194"/>
      <w:bookmarkEnd w:id="195"/>
      <w:bookmarkEnd w:id="196"/>
      <w:bookmarkEnd w:id="197"/>
      <w:bookmarkEnd w:id="198"/>
    </w:p>
    <w:p w14:paraId="4FD7F505" w14:textId="77777777" w:rsidR="00082868" w:rsidRDefault="00082868" w:rsidP="00082868">
      <w:pPr>
        <w:pStyle w:val="BodyText"/>
        <w:jc w:val="left"/>
        <w:rPr>
          <w:b w:val="0"/>
        </w:rPr>
      </w:pPr>
    </w:p>
    <w:p w14:paraId="2ADFAD04" w14:textId="10DC1AA0" w:rsidR="00082868" w:rsidRPr="00082868" w:rsidRDefault="00082868" w:rsidP="00EA0364">
      <w:pPr>
        <w:pStyle w:val="BodyText"/>
        <w:spacing w:after="0" w:line="360" w:lineRule="auto"/>
        <w:jc w:val="both"/>
        <w:rPr>
          <w:b w:val="0"/>
        </w:rPr>
      </w:pPr>
      <w:r w:rsidRPr="00082868">
        <w:rPr>
          <w:b w:val="0"/>
        </w:rPr>
        <w:t>Budget</w:t>
      </w:r>
      <w:r w:rsidR="00BA3EA9" w:rsidRPr="00082868" w:rsidDel="001F1068">
        <w:rPr>
          <w:b w:val="0"/>
        </w:rPr>
        <w:t xml:space="preserve"> </w:t>
      </w:r>
      <w:r w:rsidR="001F1068" w:rsidRPr="00082868">
        <w:rPr>
          <w:b w:val="0"/>
        </w:rPr>
        <w:t>20</w:t>
      </w:r>
      <w:r w:rsidR="001F1068">
        <w:rPr>
          <w:b w:val="0"/>
        </w:rPr>
        <w:t>25</w:t>
      </w:r>
      <w:r w:rsidR="001F1068" w:rsidRPr="00082868">
        <w:rPr>
          <w:b w:val="0"/>
        </w:rPr>
        <w:t xml:space="preserve"> </w:t>
      </w:r>
      <w:r w:rsidRPr="00082868">
        <w:rPr>
          <w:b w:val="0"/>
        </w:rPr>
        <w:t xml:space="preserve">is a base case forecast, using as its foundation the most probable economic scenario and current regulatory environment. </w:t>
      </w:r>
      <w:r w:rsidR="009A461E">
        <w:rPr>
          <w:b w:val="0"/>
        </w:rPr>
        <w:t>However, m</w:t>
      </w:r>
      <w:r w:rsidR="009A461E" w:rsidRPr="00D10F7E">
        <w:rPr>
          <w:b w:val="0"/>
          <w:bCs/>
        </w:rPr>
        <w:t>any factors affecting resource planning involve future uncertainties.</w:t>
      </w:r>
      <w:r w:rsidR="009A461E">
        <w:rPr>
          <w:b w:val="0"/>
          <w:bCs/>
        </w:rPr>
        <w:t xml:space="preserve"> </w:t>
      </w:r>
      <w:r w:rsidR="008047D3" w:rsidRPr="009A461E">
        <w:rPr>
          <w:b w:val="0"/>
          <w:bCs/>
        </w:rPr>
        <w:t>N</w:t>
      </w:r>
      <w:r w:rsidRPr="009A461E">
        <w:rPr>
          <w:b w:val="0"/>
          <w:bCs/>
        </w:rPr>
        <w:t>ine scenarios were develo</w:t>
      </w:r>
      <w:r w:rsidRPr="00082868">
        <w:rPr>
          <w:b w:val="0"/>
        </w:rPr>
        <w:t xml:space="preserve">ped to evaluate </w:t>
      </w:r>
      <w:r w:rsidR="00A12987">
        <w:rPr>
          <w:b w:val="0"/>
        </w:rPr>
        <w:t>different uncertainties</w:t>
      </w:r>
      <w:r w:rsidR="00F14816">
        <w:rPr>
          <w:b w:val="0"/>
        </w:rPr>
        <w:t>, including</w:t>
      </w:r>
      <w:r w:rsidR="00D16942">
        <w:rPr>
          <w:b w:val="0"/>
        </w:rPr>
        <w:t>:</w:t>
      </w:r>
      <w:r w:rsidR="00E305C6">
        <w:rPr>
          <w:b w:val="0"/>
        </w:rPr>
        <w:t xml:space="preserve"> (1) </w:t>
      </w:r>
      <w:r w:rsidR="00E96248" w:rsidRPr="009652F1">
        <w:rPr>
          <w:b w:val="0"/>
          <w:bCs/>
        </w:rPr>
        <w:t>future pressure on CO</w:t>
      </w:r>
      <w:r w:rsidR="00E96248" w:rsidRPr="009652F1">
        <w:rPr>
          <w:b w:val="0"/>
          <w:bCs/>
          <w:vertAlign w:val="subscript"/>
        </w:rPr>
        <w:t>2</w:t>
      </w:r>
      <w:r w:rsidR="00E96248" w:rsidRPr="009652F1">
        <w:rPr>
          <w:b w:val="0"/>
          <w:bCs/>
        </w:rPr>
        <w:t xml:space="preserve"> and other greenhouse gas (“GHG”) emissions, (2) cost and performance of future generating technologies, (3) future load growth, and (4) future fuel prices.</w:t>
      </w:r>
      <w:r w:rsidR="00E96248" w:rsidRPr="00E96248">
        <w:t xml:space="preserve"> </w:t>
      </w:r>
      <w:r w:rsidRPr="00082868">
        <w:rPr>
          <w:b w:val="0"/>
        </w:rPr>
        <w:t xml:space="preserve"> </w:t>
      </w:r>
    </w:p>
    <w:p w14:paraId="61FD3104" w14:textId="77777777" w:rsidR="00082868" w:rsidRPr="00082868" w:rsidRDefault="00082868" w:rsidP="00EA0364">
      <w:pPr>
        <w:pStyle w:val="BodyText"/>
        <w:spacing w:after="0" w:line="360" w:lineRule="auto"/>
        <w:jc w:val="both"/>
        <w:rPr>
          <w:b w:val="0"/>
          <w:highlight w:val="magenta"/>
        </w:rPr>
      </w:pPr>
    </w:p>
    <w:p w14:paraId="5DDF428F" w14:textId="668B47D7" w:rsidR="001371A4" w:rsidRDefault="00082868" w:rsidP="003A6F8A">
      <w:pPr>
        <w:pStyle w:val="BodyText"/>
        <w:spacing w:line="360" w:lineRule="auto"/>
        <w:jc w:val="both"/>
        <w:sectPr w:rsidR="001371A4" w:rsidSect="00614112">
          <w:pgSz w:w="12240" w:h="15840"/>
          <w:pgMar w:top="1440" w:right="1800" w:bottom="1440" w:left="1267" w:header="720" w:footer="720" w:gutter="0"/>
          <w:cols w:space="720"/>
        </w:sectPr>
      </w:pPr>
      <w:r w:rsidRPr="00082868">
        <w:rPr>
          <w:b w:val="0"/>
        </w:rPr>
        <w:t xml:space="preserve">It is also important to understand the possible impacts of variations in the description of the factors (variables) that are used in the forecast and their impact on the </w:t>
      </w:r>
      <w:r w:rsidR="00416782">
        <w:rPr>
          <w:b w:val="0"/>
        </w:rPr>
        <w:t xml:space="preserve">forecast </w:t>
      </w:r>
      <w:r w:rsidRPr="00082868">
        <w:rPr>
          <w:b w:val="0"/>
        </w:rPr>
        <w:t>results. Consequently,</w:t>
      </w:r>
      <w:r w:rsidR="00BA3EA9" w:rsidRPr="00082868" w:rsidDel="00666765">
        <w:rPr>
          <w:b w:val="0"/>
        </w:rPr>
        <w:t xml:space="preserve"> </w:t>
      </w:r>
      <w:r w:rsidR="00666765">
        <w:rPr>
          <w:b w:val="0"/>
        </w:rPr>
        <w:t>seven</w:t>
      </w:r>
      <w:r w:rsidR="00666765" w:rsidRPr="00082868">
        <w:rPr>
          <w:b w:val="0"/>
        </w:rPr>
        <w:t xml:space="preserve"> </w:t>
      </w:r>
      <w:r w:rsidR="00F67E34">
        <w:rPr>
          <w:b w:val="0"/>
        </w:rPr>
        <w:t xml:space="preserve">forecast </w:t>
      </w:r>
      <w:r w:rsidRPr="00082868">
        <w:rPr>
          <w:b w:val="0"/>
        </w:rPr>
        <w:t xml:space="preserve">sensitivities have </w:t>
      </w:r>
      <w:r w:rsidR="00F67E34">
        <w:rPr>
          <w:b w:val="0"/>
        </w:rPr>
        <w:t xml:space="preserve">also </w:t>
      </w:r>
      <w:r w:rsidRPr="00082868">
        <w:rPr>
          <w:b w:val="0"/>
        </w:rPr>
        <w:t xml:space="preserve">been run: </w:t>
      </w:r>
      <w:r w:rsidR="00C11C6F">
        <w:rPr>
          <w:b w:val="0"/>
        </w:rPr>
        <w:t>(</w:t>
      </w:r>
      <w:r w:rsidRPr="00082868">
        <w:rPr>
          <w:b w:val="0"/>
        </w:rPr>
        <w:t>1) high economic growth</w:t>
      </w:r>
      <w:r w:rsidR="00A63028">
        <w:rPr>
          <w:b w:val="0"/>
        </w:rPr>
        <w:t>;</w:t>
      </w:r>
      <w:r w:rsidRPr="00082868">
        <w:rPr>
          <w:b w:val="0"/>
        </w:rPr>
        <w:t xml:space="preserve"> </w:t>
      </w:r>
      <w:r w:rsidR="00C11C6F">
        <w:rPr>
          <w:b w:val="0"/>
        </w:rPr>
        <w:t>(</w:t>
      </w:r>
      <w:r w:rsidRPr="00082868">
        <w:rPr>
          <w:b w:val="0"/>
        </w:rPr>
        <w:t>2) low economic growth</w:t>
      </w:r>
      <w:r w:rsidR="00A63028">
        <w:rPr>
          <w:b w:val="0"/>
        </w:rPr>
        <w:t>;</w:t>
      </w:r>
      <w:r w:rsidR="00F82855">
        <w:rPr>
          <w:b w:val="0"/>
        </w:rPr>
        <w:t xml:space="preserve"> </w:t>
      </w:r>
      <w:r w:rsidR="00C11C6F">
        <w:rPr>
          <w:b w:val="0"/>
        </w:rPr>
        <w:t>(</w:t>
      </w:r>
      <w:r w:rsidRPr="00082868">
        <w:rPr>
          <w:b w:val="0"/>
        </w:rPr>
        <w:t xml:space="preserve">3) </w:t>
      </w:r>
      <w:r w:rsidR="00F82855" w:rsidRPr="00082868">
        <w:rPr>
          <w:b w:val="0"/>
        </w:rPr>
        <w:t>no load growth</w:t>
      </w:r>
      <w:r w:rsidR="00A63028">
        <w:rPr>
          <w:b w:val="0"/>
        </w:rPr>
        <w:t>;</w:t>
      </w:r>
      <w:r w:rsidRPr="00082868">
        <w:rPr>
          <w:b w:val="0"/>
        </w:rPr>
        <w:t xml:space="preserve"> </w:t>
      </w:r>
      <w:r w:rsidR="00C11C6F">
        <w:rPr>
          <w:b w:val="0"/>
        </w:rPr>
        <w:t>(</w:t>
      </w:r>
      <w:r w:rsidR="008C2483">
        <w:rPr>
          <w:b w:val="0"/>
        </w:rPr>
        <w:t>4) high growth in large load customers</w:t>
      </w:r>
      <w:r w:rsidR="00BC305A">
        <w:rPr>
          <w:b w:val="0"/>
        </w:rPr>
        <w:t>;</w:t>
      </w:r>
      <w:r w:rsidR="008C2483">
        <w:rPr>
          <w:b w:val="0"/>
        </w:rPr>
        <w:t xml:space="preserve"> </w:t>
      </w:r>
      <w:r w:rsidR="00C11C6F">
        <w:rPr>
          <w:b w:val="0"/>
        </w:rPr>
        <w:t>(</w:t>
      </w:r>
      <w:r w:rsidR="008C2483">
        <w:rPr>
          <w:b w:val="0"/>
        </w:rPr>
        <w:t>5</w:t>
      </w:r>
      <w:r w:rsidRPr="00082868">
        <w:rPr>
          <w:b w:val="0"/>
        </w:rPr>
        <w:t>)</w:t>
      </w:r>
      <w:r w:rsidR="00F82855">
        <w:rPr>
          <w:b w:val="0"/>
        </w:rPr>
        <w:t xml:space="preserve"> </w:t>
      </w:r>
      <w:r w:rsidR="00FE7AB9">
        <w:rPr>
          <w:b w:val="0"/>
        </w:rPr>
        <w:t>l</w:t>
      </w:r>
      <w:r w:rsidR="00F82855" w:rsidRPr="00082868">
        <w:rPr>
          <w:b w:val="0"/>
        </w:rPr>
        <w:t xml:space="preserve">oad growth with </w:t>
      </w:r>
      <w:r w:rsidR="00FE7AB9">
        <w:rPr>
          <w:b w:val="0"/>
        </w:rPr>
        <w:t>no</w:t>
      </w:r>
      <w:r w:rsidR="00F82855" w:rsidRPr="00082868">
        <w:rPr>
          <w:b w:val="0"/>
        </w:rPr>
        <w:t xml:space="preserve"> DSM growth</w:t>
      </w:r>
      <w:r w:rsidR="00A63028">
        <w:rPr>
          <w:b w:val="0"/>
        </w:rPr>
        <w:t>;</w:t>
      </w:r>
      <w:r w:rsidRPr="00082868">
        <w:rPr>
          <w:b w:val="0"/>
        </w:rPr>
        <w:t xml:space="preserve"> </w:t>
      </w:r>
      <w:r w:rsidR="00C11C6F">
        <w:rPr>
          <w:b w:val="0"/>
        </w:rPr>
        <w:t>(</w:t>
      </w:r>
      <w:r w:rsidR="008C2483">
        <w:rPr>
          <w:b w:val="0"/>
        </w:rPr>
        <w:t>6</w:t>
      </w:r>
      <w:r w:rsidRPr="00082868">
        <w:rPr>
          <w:b w:val="0"/>
        </w:rPr>
        <w:t>) load growth with aggressive DSM growth</w:t>
      </w:r>
      <w:r w:rsidR="00BA3EA9">
        <w:rPr>
          <w:b w:val="0"/>
        </w:rPr>
        <w:t xml:space="preserve">; and </w:t>
      </w:r>
      <w:r w:rsidR="00C11C6F">
        <w:rPr>
          <w:b w:val="0"/>
        </w:rPr>
        <w:t>(</w:t>
      </w:r>
      <w:r w:rsidR="008C2483">
        <w:rPr>
          <w:b w:val="0"/>
        </w:rPr>
        <w:t>7</w:t>
      </w:r>
      <w:r w:rsidR="006B71D0">
        <w:rPr>
          <w:b w:val="0"/>
        </w:rPr>
        <w:t xml:space="preserve">) </w:t>
      </w:r>
      <w:r w:rsidR="00432626">
        <w:rPr>
          <w:b w:val="0"/>
        </w:rPr>
        <w:t>load growth using a 20-year normal definition of weather</w:t>
      </w:r>
      <w:r w:rsidR="00A74EAC">
        <w:rPr>
          <w:b w:val="0"/>
        </w:rPr>
        <w:t>, as stipulated in the 2019 IRP</w:t>
      </w:r>
      <w:r w:rsidRPr="00082868">
        <w:rPr>
          <w:b w:val="0"/>
        </w:rPr>
        <w:t xml:space="preserve">. </w:t>
      </w:r>
      <w:r w:rsidRPr="00CE1D1E">
        <w:rPr>
          <w:b w:val="0"/>
        </w:rPr>
        <w:t xml:space="preserve">The economic sensitivities were driven by variations </w:t>
      </w:r>
      <w:r w:rsidR="00F82855" w:rsidRPr="00CE1D1E">
        <w:rPr>
          <w:b w:val="0"/>
        </w:rPr>
        <w:t>i</w:t>
      </w:r>
      <w:r w:rsidRPr="00CE1D1E">
        <w:rPr>
          <w:b w:val="0"/>
        </w:rPr>
        <w:t xml:space="preserve">n the economic </w:t>
      </w:r>
      <w:r w:rsidR="00CE1D1E" w:rsidRPr="00CE1D1E">
        <w:rPr>
          <w:b w:val="0"/>
        </w:rPr>
        <w:t xml:space="preserve">drivers of the </w:t>
      </w:r>
      <w:r w:rsidRPr="00CE1D1E">
        <w:rPr>
          <w:b w:val="0"/>
        </w:rPr>
        <w:t>forecast</w:t>
      </w:r>
      <w:r w:rsidR="00F82855" w:rsidRPr="00CE1D1E">
        <w:rPr>
          <w:b w:val="0"/>
        </w:rPr>
        <w:t xml:space="preserve"> </w:t>
      </w:r>
      <w:r w:rsidRPr="00CE1D1E">
        <w:rPr>
          <w:b w:val="0"/>
        </w:rPr>
        <w:t xml:space="preserve">provided by </w:t>
      </w:r>
      <w:r w:rsidR="00DA3190">
        <w:rPr>
          <w:b w:val="0"/>
        </w:rPr>
        <w:t>S&amp;P Global</w:t>
      </w:r>
      <w:r w:rsidRPr="00CE1D1E">
        <w:rPr>
          <w:b w:val="0"/>
        </w:rPr>
        <w:t xml:space="preserve">. </w:t>
      </w:r>
      <w:r w:rsidRPr="00082868">
        <w:rPr>
          <w:b w:val="0"/>
        </w:rPr>
        <w:t xml:space="preserve">Section </w:t>
      </w:r>
      <w:r w:rsidR="00DA3190">
        <w:rPr>
          <w:b w:val="0"/>
        </w:rPr>
        <w:t>8</w:t>
      </w:r>
      <w:r w:rsidR="00DA3190" w:rsidRPr="00082868">
        <w:rPr>
          <w:b w:val="0"/>
        </w:rPr>
        <w:t xml:space="preserve"> </w:t>
      </w:r>
      <w:r w:rsidRPr="00082868">
        <w:rPr>
          <w:b w:val="0"/>
        </w:rPr>
        <w:t xml:space="preserve">provides the </w:t>
      </w:r>
      <w:r w:rsidR="002D3E12">
        <w:rPr>
          <w:b w:val="0"/>
        </w:rPr>
        <w:t xml:space="preserve">results and </w:t>
      </w:r>
      <w:r w:rsidRPr="00082868">
        <w:rPr>
          <w:b w:val="0"/>
        </w:rPr>
        <w:t xml:space="preserve">details of the various </w:t>
      </w:r>
      <w:r w:rsidR="001743E3">
        <w:rPr>
          <w:b w:val="0"/>
        </w:rPr>
        <w:t xml:space="preserve">scenarios and </w:t>
      </w:r>
      <w:r w:rsidR="00380942">
        <w:rPr>
          <w:b w:val="0"/>
        </w:rPr>
        <w:t>sensitivities</w:t>
      </w:r>
      <w:r w:rsidRPr="00082868">
        <w:rPr>
          <w:b w:val="0"/>
        </w:rPr>
        <w:t>.</w:t>
      </w:r>
    </w:p>
    <w:p w14:paraId="59094742" w14:textId="77777777" w:rsidR="00A93DE9" w:rsidRPr="00A93DE9" w:rsidRDefault="00A93DE9" w:rsidP="00A93DE9">
      <w:pPr>
        <w:pStyle w:val="Heading1"/>
        <w:jc w:val="left"/>
        <w:rPr>
          <w:rFonts w:ascii="Arial" w:hAnsi="Arial" w:cs="Arial"/>
          <w:b/>
          <w:color w:val="auto"/>
        </w:rPr>
      </w:pPr>
      <w:bookmarkStart w:id="199" w:name="_Toc347120366"/>
      <w:bookmarkStart w:id="200" w:name="_Toc188257126"/>
      <w:bookmarkStart w:id="201" w:name="_Toc188257341"/>
      <w:bookmarkStart w:id="202" w:name="_Toc188257565"/>
      <w:bookmarkStart w:id="203" w:name="_Toc189162574"/>
      <w:r w:rsidRPr="00A93DE9">
        <w:rPr>
          <w:rFonts w:ascii="Arial" w:hAnsi="Arial" w:cs="Arial"/>
          <w:b/>
          <w:color w:val="auto"/>
        </w:rPr>
        <w:lastRenderedPageBreak/>
        <w:t>2.0</w:t>
      </w:r>
      <w:r w:rsidR="009E4B16">
        <w:rPr>
          <w:rFonts w:ascii="Arial" w:hAnsi="Arial" w:cs="Arial"/>
          <w:b/>
          <w:color w:val="auto"/>
        </w:rPr>
        <w:tab/>
      </w:r>
      <w:r w:rsidRPr="00A93DE9">
        <w:rPr>
          <w:rFonts w:ascii="Arial" w:hAnsi="Arial" w:cs="Arial"/>
          <w:b/>
          <w:color w:val="auto"/>
        </w:rPr>
        <w:t>ANNUAL SUMMARY</w:t>
      </w:r>
      <w:bookmarkEnd w:id="199"/>
      <w:bookmarkEnd w:id="200"/>
      <w:bookmarkEnd w:id="201"/>
      <w:bookmarkEnd w:id="202"/>
      <w:bookmarkEnd w:id="203"/>
    </w:p>
    <w:p w14:paraId="53FF8A9D" w14:textId="77777777" w:rsidR="00082868" w:rsidRDefault="00082868" w:rsidP="00B02E86">
      <w:pPr>
        <w:pStyle w:val="BodyTextIndent"/>
        <w:ind w:left="0"/>
        <w:jc w:val="left"/>
        <w:rPr>
          <w:b/>
        </w:rPr>
      </w:pPr>
    </w:p>
    <w:p w14:paraId="0D75887F" w14:textId="33C3CB9D" w:rsidR="00A93DE9" w:rsidRDefault="00A93DE9" w:rsidP="005E0B9B">
      <w:pPr>
        <w:pStyle w:val="BodyTextIndent"/>
        <w:ind w:left="0"/>
        <w:jc w:val="left"/>
        <w:rPr>
          <w:b/>
        </w:rPr>
      </w:pPr>
      <w:r>
        <w:rPr>
          <w:b/>
        </w:rPr>
        <w:t xml:space="preserve">Attachment 2.0-1: Budget </w:t>
      </w:r>
      <w:r w:rsidR="00C94F01">
        <w:rPr>
          <w:b/>
        </w:rPr>
        <w:t xml:space="preserve">2025 </w:t>
      </w:r>
      <w:r>
        <w:rPr>
          <w:b/>
        </w:rPr>
        <w:t>Forecast Annual Summary</w:t>
      </w:r>
      <w:r w:rsidR="00492435">
        <w:rPr>
          <w:rStyle w:val="FootnoteReference"/>
          <w:b/>
        </w:rPr>
        <w:footnoteReference w:id="8"/>
      </w:r>
    </w:p>
    <w:p w14:paraId="71023358" w14:textId="0D397DFB" w:rsidR="008F4942" w:rsidRDefault="008F4942" w:rsidP="00C84B35">
      <w:pPr>
        <w:pStyle w:val="BodyTextIndent"/>
        <w:keepNext/>
        <w:ind w:left="0"/>
        <w:jc w:val="left"/>
        <w:rPr>
          <w:noProof/>
        </w:rPr>
      </w:pPr>
    </w:p>
    <w:p w14:paraId="5C38A91E" w14:textId="7839FF34" w:rsidR="00C94F01" w:rsidRDefault="00393189" w:rsidP="00C84B35">
      <w:pPr>
        <w:pStyle w:val="BodyTextIndent"/>
        <w:keepNext/>
        <w:ind w:left="0"/>
        <w:jc w:val="left"/>
        <w:rPr>
          <w:noProof/>
        </w:rPr>
      </w:pPr>
      <w:r w:rsidRPr="00393189">
        <w:rPr>
          <w:noProof/>
        </w:rPr>
        <w:drawing>
          <wp:inline distT="0" distB="0" distL="0" distR="0" wp14:anchorId="4DCBB753" wp14:editId="3245A904">
            <wp:extent cx="5943600" cy="3331210"/>
            <wp:effectExtent l="0" t="0" r="0" b="2540"/>
            <wp:docPr id="1094677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331210"/>
                    </a:xfrm>
                    <a:prstGeom prst="rect">
                      <a:avLst/>
                    </a:prstGeom>
                    <a:noFill/>
                    <a:ln>
                      <a:noFill/>
                    </a:ln>
                  </pic:spPr>
                </pic:pic>
              </a:graphicData>
            </a:graphic>
          </wp:inline>
        </w:drawing>
      </w:r>
    </w:p>
    <w:p w14:paraId="71A2B4A3" w14:textId="11B8377B" w:rsidR="00E3578F" w:rsidRDefault="00E3578F" w:rsidP="00C84B35">
      <w:pPr>
        <w:pStyle w:val="BodyTextIndent"/>
        <w:keepNext/>
        <w:ind w:left="0"/>
        <w:jc w:val="left"/>
        <w:rPr>
          <w:noProof/>
        </w:rPr>
      </w:pPr>
    </w:p>
    <w:p w14:paraId="7C78B48C" w14:textId="13FBF186" w:rsidR="00A93DE9" w:rsidRDefault="00A93DE9" w:rsidP="008F4942">
      <w:pPr>
        <w:pStyle w:val="BodyTextIndent"/>
        <w:keepNext/>
        <w:ind w:left="0"/>
        <w:rPr>
          <w:b/>
        </w:rPr>
      </w:pPr>
    </w:p>
    <w:p w14:paraId="3DB3492F" w14:textId="77777777" w:rsidR="00A93DE9" w:rsidRDefault="00A93DE9" w:rsidP="00B02E86">
      <w:pPr>
        <w:pStyle w:val="BodyTextIndent"/>
        <w:ind w:left="0"/>
        <w:jc w:val="left"/>
        <w:rPr>
          <w:b/>
        </w:rPr>
      </w:pPr>
    </w:p>
    <w:p w14:paraId="220B6053" w14:textId="77777777" w:rsidR="00A93DE9" w:rsidRDefault="00A93DE9">
      <w:pPr>
        <w:spacing w:after="200" w:line="276" w:lineRule="auto"/>
        <w:jc w:val="left"/>
      </w:pPr>
      <w:r>
        <w:rPr>
          <w:b w:val="0"/>
        </w:rPr>
        <w:br w:type="page"/>
      </w:r>
    </w:p>
    <w:p w14:paraId="297B183C" w14:textId="77777777" w:rsidR="00A93DE9" w:rsidRPr="00A93DE9" w:rsidRDefault="00A93DE9" w:rsidP="00A93DE9">
      <w:pPr>
        <w:pStyle w:val="Heading1"/>
        <w:jc w:val="left"/>
        <w:rPr>
          <w:rFonts w:ascii="Arial" w:hAnsi="Arial" w:cs="Arial"/>
          <w:b/>
          <w:color w:val="auto"/>
        </w:rPr>
      </w:pPr>
      <w:bookmarkStart w:id="204" w:name="_Toc188257127"/>
      <w:bookmarkStart w:id="205" w:name="_Toc188257342"/>
      <w:bookmarkStart w:id="206" w:name="_Toc188257566"/>
      <w:bookmarkStart w:id="207" w:name="_Toc189162575"/>
      <w:r w:rsidRPr="00A93DE9">
        <w:rPr>
          <w:rFonts w:ascii="Arial" w:hAnsi="Arial" w:cs="Arial"/>
          <w:b/>
          <w:color w:val="auto"/>
        </w:rPr>
        <w:lastRenderedPageBreak/>
        <w:t>2.</w:t>
      </w:r>
      <w:r>
        <w:rPr>
          <w:rFonts w:ascii="Arial" w:hAnsi="Arial" w:cs="Arial"/>
          <w:b/>
          <w:color w:val="auto"/>
        </w:rPr>
        <w:t>1</w:t>
      </w:r>
      <w:r w:rsidR="009E4B16">
        <w:rPr>
          <w:rFonts w:ascii="Arial" w:hAnsi="Arial" w:cs="Arial"/>
          <w:b/>
          <w:color w:val="auto"/>
        </w:rPr>
        <w:tab/>
      </w:r>
      <w:r>
        <w:rPr>
          <w:rFonts w:ascii="Arial" w:hAnsi="Arial" w:cs="Arial"/>
          <w:b/>
          <w:color w:val="auto"/>
        </w:rPr>
        <w:t>MONTHLY ENERGY REQUIREMENTS</w:t>
      </w:r>
      <w:bookmarkEnd w:id="204"/>
      <w:bookmarkEnd w:id="205"/>
      <w:bookmarkEnd w:id="206"/>
      <w:bookmarkEnd w:id="207"/>
    </w:p>
    <w:p w14:paraId="725D8598" w14:textId="77777777" w:rsidR="00A93DE9" w:rsidRDefault="00A93DE9" w:rsidP="00B02E86">
      <w:pPr>
        <w:pStyle w:val="BodyTextIndent"/>
        <w:ind w:left="0"/>
        <w:jc w:val="left"/>
        <w:rPr>
          <w:b/>
        </w:rPr>
      </w:pPr>
    </w:p>
    <w:p w14:paraId="08DB0338" w14:textId="6E6A0041" w:rsidR="00A93DE9" w:rsidRDefault="00A93DE9" w:rsidP="005E0B9B">
      <w:pPr>
        <w:pStyle w:val="BodyTextIndent"/>
        <w:ind w:left="0"/>
        <w:jc w:val="left"/>
        <w:rPr>
          <w:b/>
        </w:rPr>
      </w:pPr>
      <w:r>
        <w:rPr>
          <w:b/>
        </w:rPr>
        <w:t xml:space="preserve">Attachment 2.1-1: Budget </w:t>
      </w:r>
      <w:r w:rsidR="00C94F01">
        <w:rPr>
          <w:b/>
        </w:rPr>
        <w:t xml:space="preserve">2025 </w:t>
      </w:r>
      <w:r>
        <w:rPr>
          <w:b/>
        </w:rPr>
        <w:t>Monthly Energy Requirements by Class of Service – Forecast</w:t>
      </w:r>
    </w:p>
    <w:p w14:paraId="55173D81" w14:textId="2855112F" w:rsidR="00E83759" w:rsidRDefault="00E83759" w:rsidP="005E0B9B">
      <w:pPr>
        <w:pStyle w:val="BodyTextIndent"/>
        <w:ind w:left="0"/>
        <w:jc w:val="left"/>
        <w:rPr>
          <w:b/>
        </w:rPr>
      </w:pPr>
    </w:p>
    <w:p w14:paraId="1FB9BBD0" w14:textId="11DA9C17" w:rsidR="00C94F01" w:rsidRDefault="005D292A" w:rsidP="005E0B9B">
      <w:pPr>
        <w:pStyle w:val="BodyTextIndent"/>
        <w:ind w:left="0"/>
        <w:jc w:val="left"/>
        <w:rPr>
          <w:b/>
        </w:rPr>
      </w:pPr>
      <w:r w:rsidRPr="005D292A">
        <w:rPr>
          <w:b/>
          <w:noProof/>
        </w:rPr>
        <w:drawing>
          <wp:inline distT="0" distB="0" distL="0" distR="0" wp14:anchorId="50559633" wp14:editId="60A32CE2">
            <wp:extent cx="5943600" cy="4580255"/>
            <wp:effectExtent l="0" t="0" r="0" b="0"/>
            <wp:docPr id="89540545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580255"/>
                    </a:xfrm>
                    <a:prstGeom prst="rect">
                      <a:avLst/>
                    </a:prstGeom>
                    <a:noFill/>
                    <a:ln>
                      <a:noFill/>
                    </a:ln>
                  </pic:spPr>
                </pic:pic>
              </a:graphicData>
            </a:graphic>
          </wp:inline>
        </w:drawing>
      </w:r>
    </w:p>
    <w:p w14:paraId="6281101D" w14:textId="7A4F4EC5" w:rsidR="00530AA7" w:rsidRDefault="00530AA7" w:rsidP="005E0B9B">
      <w:pPr>
        <w:pStyle w:val="BodyTextIndent"/>
        <w:ind w:left="0"/>
        <w:jc w:val="left"/>
        <w:rPr>
          <w:b/>
        </w:rPr>
      </w:pPr>
    </w:p>
    <w:p w14:paraId="779F669C" w14:textId="3260F7A0" w:rsidR="00A93DE9" w:rsidRDefault="00A93DE9" w:rsidP="00BE43B1">
      <w:pPr>
        <w:pStyle w:val="BodyTextIndent"/>
        <w:keepNext/>
        <w:ind w:left="0"/>
        <w:rPr>
          <w:b/>
        </w:rPr>
      </w:pPr>
    </w:p>
    <w:p w14:paraId="39306C54" w14:textId="77777777" w:rsidR="00A93DE9" w:rsidRDefault="00A93DE9">
      <w:pPr>
        <w:spacing w:after="200" w:line="276" w:lineRule="auto"/>
        <w:jc w:val="left"/>
      </w:pPr>
      <w:r>
        <w:rPr>
          <w:b w:val="0"/>
        </w:rPr>
        <w:br w:type="page"/>
      </w:r>
    </w:p>
    <w:p w14:paraId="11B89D86" w14:textId="45D00932" w:rsidR="00A93DE9" w:rsidRDefault="00A93DE9" w:rsidP="005E0B9B">
      <w:pPr>
        <w:pStyle w:val="BodyTextIndent"/>
        <w:keepNext/>
        <w:ind w:left="0"/>
        <w:jc w:val="left"/>
        <w:rPr>
          <w:b/>
        </w:rPr>
      </w:pPr>
      <w:r>
        <w:rPr>
          <w:b/>
        </w:rPr>
        <w:lastRenderedPageBreak/>
        <w:t xml:space="preserve">Attachment 2.1-1: Budget </w:t>
      </w:r>
      <w:r w:rsidR="00C94F01">
        <w:rPr>
          <w:b/>
        </w:rPr>
        <w:t xml:space="preserve">2025 </w:t>
      </w:r>
      <w:r>
        <w:rPr>
          <w:b/>
        </w:rPr>
        <w:t>Monthly Energy Requirements by Class of Service – Forecast</w:t>
      </w:r>
    </w:p>
    <w:p w14:paraId="727FCA56" w14:textId="648155A0" w:rsidR="00BE43B1" w:rsidRDefault="00BE43B1" w:rsidP="00C84B35">
      <w:pPr>
        <w:pStyle w:val="BodyTextIndent"/>
        <w:keepNext/>
        <w:ind w:left="0"/>
        <w:jc w:val="left"/>
        <w:rPr>
          <w:b/>
        </w:rPr>
      </w:pPr>
    </w:p>
    <w:p w14:paraId="5B423124" w14:textId="24FA1E11" w:rsidR="00C94F01" w:rsidRDefault="00E26FD3" w:rsidP="00C84B35">
      <w:pPr>
        <w:pStyle w:val="BodyTextIndent"/>
        <w:keepNext/>
        <w:ind w:left="0"/>
        <w:jc w:val="left"/>
        <w:rPr>
          <w:b/>
        </w:rPr>
      </w:pPr>
      <w:r w:rsidRPr="00E26FD3">
        <w:rPr>
          <w:b/>
          <w:noProof/>
        </w:rPr>
        <w:drawing>
          <wp:inline distT="0" distB="0" distL="0" distR="0" wp14:anchorId="37CE2592" wp14:editId="7FAD79A7">
            <wp:extent cx="5943600" cy="4580255"/>
            <wp:effectExtent l="0" t="0" r="0" b="0"/>
            <wp:docPr id="1139018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580255"/>
                    </a:xfrm>
                    <a:prstGeom prst="rect">
                      <a:avLst/>
                    </a:prstGeom>
                    <a:noFill/>
                    <a:ln>
                      <a:noFill/>
                    </a:ln>
                  </pic:spPr>
                </pic:pic>
              </a:graphicData>
            </a:graphic>
          </wp:inline>
        </w:drawing>
      </w:r>
    </w:p>
    <w:p w14:paraId="50BEC90B" w14:textId="2123CC7E" w:rsidR="00530AA7" w:rsidRDefault="00530AA7" w:rsidP="00C84B35">
      <w:pPr>
        <w:pStyle w:val="BodyTextIndent"/>
        <w:keepNext/>
        <w:ind w:left="0"/>
        <w:jc w:val="left"/>
        <w:rPr>
          <w:b/>
        </w:rPr>
      </w:pPr>
    </w:p>
    <w:p w14:paraId="2B8228F9" w14:textId="36DD622E" w:rsidR="00A93DE9" w:rsidRDefault="00A93DE9" w:rsidP="00BE43B1">
      <w:pPr>
        <w:pStyle w:val="BodyTextIndent"/>
        <w:keepNext/>
        <w:ind w:left="0"/>
        <w:rPr>
          <w:b/>
        </w:rPr>
      </w:pPr>
    </w:p>
    <w:p w14:paraId="3B6AA94E" w14:textId="77777777" w:rsidR="00A93DE9" w:rsidRDefault="00A93DE9" w:rsidP="00B02E86">
      <w:pPr>
        <w:pStyle w:val="BodyTextIndent"/>
        <w:ind w:left="0"/>
        <w:jc w:val="left"/>
        <w:rPr>
          <w:b/>
        </w:rPr>
      </w:pPr>
    </w:p>
    <w:p w14:paraId="05EDEECE" w14:textId="77777777" w:rsidR="00A93DE9" w:rsidRDefault="00A93DE9">
      <w:pPr>
        <w:spacing w:after="200" w:line="276" w:lineRule="auto"/>
        <w:jc w:val="left"/>
      </w:pPr>
      <w:r>
        <w:rPr>
          <w:b w:val="0"/>
        </w:rPr>
        <w:br w:type="page"/>
      </w:r>
    </w:p>
    <w:p w14:paraId="69FA27F5" w14:textId="77777777" w:rsidR="00B41F5E" w:rsidRDefault="00A93DE9" w:rsidP="008047D3">
      <w:pPr>
        <w:keepNext/>
        <w:spacing w:after="200" w:line="276" w:lineRule="auto"/>
        <w:jc w:val="left"/>
      </w:pPr>
      <w:bookmarkStart w:id="208" w:name="_Toc347120372"/>
      <w:r w:rsidRPr="00A93DE9">
        <w:lastRenderedPageBreak/>
        <w:t xml:space="preserve">Attachment 2.1-2: Monthly Energy Requirements by Class of Service </w:t>
      </w:r>
      <w:r w:rsidR="00E83759">
        <w:t>–</w:t>
      </w:r>
      <w:r w:rsidRPr="00A93DE9">
        <w:t xml:space="preserve"> Historical</w:t>
      </w:r>
    </w:p>
    <w:p w14:paraId="157D80B0" w14:textId="695B2DD5" w:rsidR="00C94F01" w:rsidRDefault="00F37C1D" w:rsidP="008047D3">
      <w:pPr>
        <w:keepNext/>
        <w:spacing w:after="200" w:line="276" w:lineRule="auto"/>
        <w:jc w:val="left"/>
        <w:rPr>
          <w:noProof/>
        </w:rPr>
      </w:pPr>
      <w:r w:rsidRPr="00F37C1D">
        <w:rPr>
          <w:noProof/>
        </w:rPr>
        <w:drawing>
          <wp:inline distT="0" distB="0" distL="0" distR="0" wp14:anchorId="50F299E5" wp14:editId="1C16C0A1">
            <wp:extent cx="5551055" cy="7900161"/>
            <wp:effectExtent l="0" t="0" r="0" b="5715"/>
            <wp:docPr id="9774029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53312" cy="7903373"/>
                    </a:xfrm>
                    <a:prstGeom prst="rect">
                      <a:avLst/>
                    </a:prstGeom>
                    <a:noFill/>
                    <a:ln>
                      <a:noFill/>
                    </a:ln>
                  </pic:spPr>
                </pic:pic>
              </a:graphicData>
            </a:graphic>
          </wp:inline>
        </w:drawing>
      </w:r>
    </w:p>
    <w:p w14:paraId="45CB7897" w14:textId="27FF5996" w:rsidR="00A93DE9" w:rsidRPr="00F87968" w:rsidRDefault="009E4B16" w:rsidP="00F87968">
      <w:pPr>
        <w:pStyle w:val="Heading1"/>
        <w:jc w:val="left"/>
        <w:rPr>
          <w:rFonts w:ascii="Arial" w:hAnsi="Arial" w:cs="Arial"/>
          <w:b/>
          <w:color w:val="auto"/>
        </w:rPr>
      </w:pPr>
      <w:bookmarkStart w:id="209" w:name="_Toc188257128"/>
      <w:bookmarkStart w:id="210" w:name="_Toc188257343"/>
      <w:bookmarkStart w:id="211" w:name="_Toc188257567"/>
      <w:bookmarkStart w:id="212" w:name="_Toc189162576"/>
      <w:r w:rsidRPr="00F87968">
        <w:rPr>
          <w:rFonts w:ascii="Arial" w:hAnsi="Arial" w:cs="Arial"/>
          <w:b/>
          <w:color w:val="auto"/>
        </w:rPr>
        <w:lastRenderedPageBreak/>
        <w:t>2.2</w:t>
      </w:r>
      <w:r w:rsidRPr="00F87968">
        <w:rPr>
          <w:rFonts w:ascii="Arial" w:hAnsi="Arial" w:cs="Arial"/>
          <w:b/>
          <w:color w:val="auto"/>
        </w:rPr>
        <w:tab/>
      </w:r>
      <w:r w:rsidR="00A93DE9" w:rsidRPr="00F87968">
        <w:rPr>
          <w:rFonts w:ascii="Arial" w:hAnsi="Arial" w:cs="Arial"/>
          <w:b/>
          <w:color w:val="auto"/>
        </w:rPr>
        <w:t>CUSTOMERS</w:t>
      </w:r>
      <w:bookmarkEnd w:id="208"/>
      <w:bookmarkEnd w:id="209"/>
      <w:bookmarkEnd w:id="210"/>
      <w:bookmarkEnd w:id="211"/>
      <w:bookmarkEnd w:id="212"/>
    </w:p>
    <w:p w14:paraId="29DE1F22" w14:textId="77777777" w:rsidR="00A93DE9" w:rsidRDefault="00A93DE9" w:rsidP="00B02E86">
      <w:pPr>
        <w:pStyle w:val="BodyTextIndent"/>
        <w:ind w:left="0"/>
        <w:jc w:val="left"/>
        <w:rPr>
          <w:b/>
        </w:rPr>
      </w:pPr>
    </w:p>
    <w:p w14:paraId="495D32DE" w14:textId="32CB8946" w:rsidR="009E4B16" w:rsidRDefault="009E4B16" w:rsidP="00B047E6">
      <w:pPr>
        <w:pStyle w:val="BodyTextIndent"/>
        <w:keepNext/>
        <w:ind w:left="0"/>
        <w:jc w:val="left"/>
        <w:rPr>
          <w:b/>
        </w:rPr>
      </w:pPr>
      <w:r>
        <w:rPr>
          <w:b/>
        </w:rPr>
        <w:t xml:space="preserve">Attachment 2.2-1: </w:t>
      </w:r>
      <w:r w:rsidR="0052253C">
        <w:rPr>
          <w:b/>
        </w:rPr>
        <w:t xml:space="preserve">Budget </w:t>
      </w:r>
      <w:r w:rsidR="00C94F01">
        <w:rPr>
          <w:b/>
        </w:rPr>
        <w:t xml:space="preserve">2025 </w:t>
      </w:r>
      <w:r>
        <w:rPr>
          <w:b/>
        </w:rPr>
        <w:t>Historical and Forecast Customers (</w:t>
      </w:r>
      <w:r w:rsidR="00E15F85">
        <w:rPr>
          <w:b/>
        </w:rPr>
        <w:t>Year End</w:t>
      </w:r>
      <w:r>
        <w:rPr>
          <w:b/>
        </w:rPr>
        <w:t>)</w:t>
      </w:r>
    </w:p>
    <w:p w14:paraId="17754E7C" w14:textId="02DF1C77" w:rsidR="008742A4" w:rsidRDefault="008742A4" w:rsidP="00B047E6">
      <w:pPr>
        <w:pStyle w:val="BodyTextIndent"/>
        <w:keepNext/>
        <w:ind w:left="0"/>
        <w:jc w:val="left"/>
        <w:rPr>
          <w:b/>
        </w:rPr>
      </w:pPr>
    </w:p>
    <w:p w14:paraId="3488D3C9" w14:textId="0A61CBE3" w:rsidR="00C94F01" w:rsidRDefault="00B41F5E" w:rsidP="00B047E6">
      <w:pPr>
        <w:pStyle w:val="BodyTextIndent"/>
        <w:keepNext/>
        <w:ind w:left="0"/>
        <w:jc w:val="left"/>
        <w:rPr>
          <w:b/>
        </w:rPr>
      </w:pPr>
      <w:r w:rsidRPr="00B41F5E">
        <w:rPr>
          <w:b/>
          <w:noProof/>
        </w:rPr>
        <w:drawing>
          <wp:inline distT="0" distB="0" distL="0" distR="0" wp14:anchorId="375557C9" wp14:editId="6B333C9E">
            <wp:extent cx="5943600" cy="4865370"/>
            <wp:effectExtent l="0" t="0" r="0" b="0"/>
            <wp:docPr id="26246769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865370"/>
                    </a:xfrm>
                    <a:prstGeom prst="rect">
                      <a:avLst/>
                    </a:prstGeom>
                    <a:noFill/>
                    <a:ln>
                      <a:noFill/>
                    </a:ln>
                  </pic:spPr>
                </pic:pic>
              </a:graphicData>
            </a:graphic>
          </wp:inline>
        </w:drawing>
      </w:r>
    </w:p>
    <w:p w14:paraId="4453B0F6" w14:textId="2BE837C6" w:rsidR="00263059" w:rsidRDefault="00263059" w:rsidP="00B047E6">
      <w:pPr>
        <w:pStyle w:val="BodyTextIndent"/>
        <w:keepNext/>
        <w:ind w:left="0"/>
        <w:jc w:val="left"/>
        <w:rPr>
          <w:b/>
        </w:rPr>
      </w:pPr>
    </w:p>
    <w:p w14:paraId="0A50AABD" w14:textId="0AC13E99" w:rsidR="009E4B16" w:rsidRDefault="009E4B16" w:rsidP="005E0B9B">
      <w:pPr>
        <w:pStyle w:val="BodyTextIndent"/>
        <w:keepNext/>
        <w:ind w:left="0"/>
        <w:rPr>
          <w:b/>
        </w:rPr>
      </w:pPr>
    </w:p>
    <w:p w14:paraId="53B2D745" w14:textId="77777777" w:rsidR="009E4B16" w:rsidRDefault="009E4B16" w:rsidP="00B02E86">
      <w:pPr>
        <w:pStyle w:val="BodyTextIndent"/>
        <w:ind w:left="0"/>
        <w:jc w:val="left"/>
        <w:rPr>
          <w:b/>
        </w:rPr>
      </w:pPr>
    </w:p>
    <w:p w14:paraId="0EF95E44" w14:textId="77777777" w:rsidR="009E4B16" w:rsidRDefault="009E4B16" w:rsidP="00B02E86">
      <w:pPr>
        <w:pStyle w:val="BodyTextIndent"/>
        <w:ind w:left="0"/>
        <w:jc w:val="left"/>
        <w:rPr>
          <w:b/>
        </w:rPr>
      </w:pPr>
    </w:p>
    <w:p w14:paraId="0FA21546" w14:textId="77777777" w:rsidR="009E4B16" w:rsidRDefault="009E4B16" w:rsidP="00B02E86">
      <w:pPr>
        <w:pStyle w:val="BodyTextIndent"/>
        <w:ind w:left="0"/>
        <w:jc w:val="left"/>
        <w:rPr>
          <w:b/>
        </w:rPr>
        <w:sectPr w:rsidR="009E4B16" w:rsidSect="00E01D42">
          <w:footerReference w:type="default" r:id="rId27"/>
          <w:pgSz w:w="12240" w:h="15840"/>
          <w:pgMar w:top="1440" w:right="1440" w:bottom="1440" w:left="1440" w:header="720" w:footer="720" w:gutter="0"/>
          <w:cols w:space="720"/>
          <w:docGrid w:linePitch="360"/>
        </w:sectPr>
      </w:pPr>
    </w:p>
    <w:p w14:paraId="5816C53E" w14:textId="77777777" w:rsidR="00D5588E" w:rsidRPr="00B23AAD" w:rsidRDefault="00D5588E" w:rsidP="00D5588E">
      <w:pPr>
        <w:pStyle w:val="Heading1"/>
        <w:jc w:val="left"/>
      </w:pPr>
      <w:bookmarkStart w:id="213" w:name="_Toc347120374"/>
      <w:bookmarkStart w:id="214" w:name="_Toc188257129"/>
      <w:bookmarkStart w:id="215" w:name="_Toc188257344"/>
      <w:bookmarkStart w:id="216" w:name="_Toc188257568"/>
      <w:bookmarkStart w:id="217" w:name="_Toc189162577"/>
      <w:r w:rsidRPr="00D5588E">
        <w:rPr>
          <w:rFonts w:ascii="Arial" w:hAnsi="Arial" w:cs="Arial"/>
          <w:b/>
          <w:color w:val="auto"/>
        </w:rPr>
        <w:lastRenderedPageBreak/>
        <w:t>3.0</w:t>
      </w:r>
      <w:r w:rsidRPr="00D5588E">
        <w:rPr>
          <w:rFonts w:ascii="Arial" w:hAnsi="Arial" w:cs="Arial"/>
          <w:b/>
          <w:color w:val="auto"/>
        </w:rPr>
        <w:tab/>
        <w:t>GENERAL FORECASTING OVERVIEW</w:t>
      </w:r>
      <w:bookmarkEnd w:id="213"/>
      <w:bookmarkEnd w:id="214"/>
      <w:bookmarkEnd w:id="215"/>
      <w:bookmarkEnd w:id="216"/>
      <w:bookmarkEnd w:id="217"/>
    </w:p>
    <w:p w14:paraId="7C99B8CE" w14:textId="77777777" w:rsidR="00D5588E" w:rsidRDefault="00D5588E" w:rsidP="00D5588E">
      <w:pPr>
        <w:pStyle w:val="BodyText"/>
        <w:jc w:val="left"/>
        <w:rPr>
          <w:b w:val="0"/>
        </w:rPr>
      </w:pPr>
    </w:p>
    <w:p w14:paraId="3053BC82" w14:textId="6BE5D205" w:rsidR="00D5588E" w:rsidRPr="00D5588E" w:rsidRDefault="00D5588E" w:rsidP="0001279F">
      <w:pPr>
        <w:pStyle w:val="BodyText"/>
        <w:spacing w:after="0" w:line="360" w:lineRule="auto"/>
        <w:jc w:val="both"/>
        <w:rPr>
          <w:b w:val="0"/>
        </w:rPr>
      </w:pPr>
      <w:r w:rsidRPr="00D5588E">
        <w:rPr>
          <w:b w:val="0"/>
        </w:rPr>
        <w:t xml:space="preserve">This section </w:t>
      </w:r>
      <w:r w:rsidR="005B335A">
        <w:rPr>
          <w:b w:val="0"/>
        </w:rPr>
        <w:t xml:space="preserve">provides an overview of </w:t>
      </w:r>
      <w:r w:rsidRPr="00D5588E">
        <w:rPr>
          <w:b w:val="0"/>
        </w:rPr>
        <w:t xml:space="preserve">the modeling methods used to produce Budget </w:t>
      </w:r>
      <w:r w:rsidR="00C22CEB" w:rsidRPr="00D5588E">
        <w:rPr>
          <w:b w:val="0"/>
        </w:rPr>
        <w:t>20</w:t>
      </w:r>
      <w:r w:rsidR="00C22CEB">
        <w:rPr>
          <w:b w:val="0"/>
        </w:rPr>
        <w:t xml:space="preserve">25 </w:t>
      </w:r>
      <w:r w:rsidRPr="00D5588E">
        <w:rPr>
          <w:b w:val="0"/>
        </w:rPr>
        <w:t xml:space="preserve">for Georgia Power. The forecast uses a variety of statistical techniques and other methods. The availability of data, characteristics of the market, and uses of the forecast all help determine which method will be used for </w:t>
      </w:r>
      <w:r w:rsidR="00EE1800">
        <w:rPr>
          <w:b w:val="0"/>
        </w:rPr>
        <w:t>each</w:t>
      </w:r>
      <w:r w:rsidR="00797F67" w:rsidRPr="00D5588E">
        <w:rPr>
          <w:b w:val="0"/>
        </w:rPr>
        <w:t xml:space="preserve"> </w:t>
      </w:r>
      <w:r w:rsidRPr="00D5588E">
        <w:rPr>
          <w:b w:val="0"/>
        </w:rPr>
        <w:t>part of the forecast.</w:t>
      </w:r>
      <w:r w:rsidR="00616255">
        <w:rPr>
          <w:b w:val="0"/>
        </w:rPr>
        <w:t xml:space="preserve"> </w:t>
      </w:r>
    </w:p>
    <w:p w14:paraId="1773A2DE" w14:textId="77777777" w:rsidR="00D5588E" w:rsidRPr="00D5588E" w:rsidRDefault="00D5588E" w:rsidP="0001279F">
      <w:pPr>
        <w:pStyle w:val="BodyText"/>
        <w:spacing w:after="0" w:line="360" w:lineRule="auto"/>
        <w:jc w:val="both"/>
        <w:rPr>
          <w:b w:val="0"/>
        </w:rPr>
      </w:pPr>
    </w:p>
    <w:p w14:paraId="4A3BD7BE" w14:textId="31E8E35A" w:rsidR="00D5588E" w:rsidRPr="00D5588E" w:rsidRDefault="00D5588E" w:rsidP="00AE0B35">
      <w:pPr>
        <w:pStyle w:val="BodyText"/>
        <w:jc w:val="both"/>
        <w:rPr>
          <w:b w:val="0"/>
        </w:rPr>
      </w:pPr>
      <w:r w:rsidRPr="00D5588E">
        <w:rPr>
          <w:b w:val="0"/>
        </w:rPr>
        <w:t xml:space="preserve">Budget </w:t>
      </w:r>
      <w:r w:rsidR="00C22CEB" w:rsidRPr="00D5588E">
        <w:rPr>
          <w:b w:val="0"/>
        </w:rPr>
        <w:t>20</w:t>
      </w:r>
      <w:r w:rsidR="00C22CEB">
        <w:rPr>
          <w:b w:val="0"/>
        </w:rPr>
        <w:t>25</w:t>
      </w:r>
      <w:r w:rsidR="00C22CEB" w:rsidRPr="00D5588E">
        <w:rPr>
          <w:b w:val="0"/>
        </w:rPr>
        <w:t xml:space="preserve"> </w:t>
      </w:r>
      <w:r w:rsidRPr="00D5588E">
        <w:rPr>
          <w:b w:val="0"/>
        </w:rPr>
        <w:t xml:space="preserve">uses </w:t>
      </w:r>
      <w:r w:rsidR="00C22CEB">
        <w:rPr>
          <w:b w:val="0"/>
        </w:rPr>
        <w:t>four</w:t>
      </w:r>
      <w:r w:rsidR="00C22CEB" w:rsidRPr="00D5588E">
        <w:rPr>
          <w:b w:val="0"/>
        </w:rPr>
        <w:t xml:space="preserve"> </w:t>
      </w:r>
      <w:r w:rsidR="006E01A5">
        <w:rPr>
          <w:b w:val="0"/>
        </w:rPr>
        <w:t xml:space="preserve">primary </w:t>
      </w:r>
      <w:r w:rsidRPr="00D5588E">
        <w:rPr>
          <w:b w:val="0"/>
        </w:rPr>
        <w:t xml:space="preserve">methods: </w:t>
      </w:r>
    </w:p>
    <w:p w14:paraId="74D07D98" w14:textId="031CBC8C" w:rsidR="00D5588E" w:rsidRPr="00D5588E" w:rsidRDefault="00D5588E" w:rsidP="00AE0B35">
      <w:pPr>
        <w:pStyle w:val="BodyText"/>
        <w:jc w:val="both"/>
        <w:rPr>
          <w:b w:val="0"/>
        </w:rPr>
      </w:pPr>
      <w:r w:rsidRPr="00D5588E">
        <w:rPr>
          <w:b w:val="0"/>
        </w:rPr>
        <w:t>1)</w:t>
      </w:r>
      <w:r w:rsidRPr="00D5588E">
        <w:rPr>
          <w:b w:val="0"/>
        </w:rPr>
        <w:tab/>
        <w:t>Econometric regression</w:t>
      </w:r>
      <w:r w:rsidR="000044DD" w:rsidRPr="00A63028">
        <w:rPr>
          <w:b w:val="0"/>
        </w:rPr>
        <w:t>;</w:t>
      </w:r>
      <w:r w:rsidRPr="00D5588E">
        <w:rPr>
          <w:b w:val="0"/>
        </w:rPr>
        <w:t xml:space="preserve"> </w:t>
      </w:r>
    </w:p>
    <w:p w14:paraId="7D6F2DCC" w14:textId="4E66B21C" w:rsidR="00D5588E" w:rsidRDefault="00D5588E" w:rsidP="00AE0B35">
      <w:pPr>
        <w:pStyle w:val="BodyText"/>
        <w:jc w:val="both"/>
        <w:rPr>
          <w:b w:val="0"/>
        </w:rPr>
      </w:pPr>
      <w:r w:rsidRPr="00D5588E">
        <w:rPr>
          <w:b w:val="0"/>
        </w:rPr>
        <w:t>2)</w:t>
      </w:r>
      <w:r w:rsidRPr="00D5588E">
        <w:rPr>
          <w:b w:val="0"/>
        </w:rPr>
        <w:tab/>
        <w:t>End</w:t>
      </w:r>
      <w:r w:rsidR="00BF7273">
        <w:rPr>
          <w:b w:val="0"/>
        </w:rPr>
        <w:t>-</w:t>
      </w:r>
      <w:r w:rsidRPr="00D5588E">
        <w:rPr>
          <w:b w:val="0"/>
        </w:rPr>
        <w:t>use</w:t>
      </w:r>
      <w:r w:rsidR="00BF7273">
        <w:rPr>
          <w:b w:val="0"/>
        </w:rPr>
        <w:t xml:space="preserve"> models</w:t>
      </w:r>
      <w:r w:rsidR="000044DD">
        <w:rPr>
          <w:b w:val="0"/>
        </w:rPr>
        <w:t>;</w:t>
      </w:r>
      <w:r w:rsidRPr="00D5588E">
        <w:rPr>
          <w:b w:val="0"/>
        </w:rPr>
        <w:t xml:space="preserve"> </w:t>
      </w:r>
    </w:p>
    <w:p w14:paraId="5D72DDB5" w14:textId="59868D40" w:rsidR="00C22CEB" w:rsidRPr="00D5588E" w:rsidRDefault="00C22CEB" w:rsidP="00AE0B35">
      <w:pPr>
        <w:pStyle w:val="BodyText"/>
        <w:jc w:val="both"/>
        <w:rPr>
          <w:b w:val="0"/>
        </w:rPr>
      </w:pPr>
      <w:r>
        <w:rPr>
          <w:b w:val="0"/>
        </w:rPr>
        <w:t>3)</w:t>
      </w:r>
      <w:r>
        <w:rPr>
          <w:b w:val="0"/>
        </w:rPr>
        <w:tab/>
        <w:t xml:space="preserve">Monte Carlo </w:t>
      </w:r>
      <w:r w:rsidR="00E63569">
        <w:rPr>
          <w:b w:val="0"/>
        </w:rPr>
        <w:t>s</w:t>
      </w:r>
      <w:r>
        <w:rPr>
          <w:b w:val="0"/>
        </w:rPr>
        <w:t>imulation; and</w:t>
      </w:r>
    </w:p>
    <w:p w14:paraId="2D3CD56F" w14:textId="48FEC1DC" w:rsidR="00D5588E" w:rsidRPr="00D5588E" w:rsidRDefault="00C22CEB" w:rsidP="00AE0B35">
      <w:pPr>
        <w:pStyle w:val="BodyText"/>
        <w:spacing w:after="0"/>
        <w:jc w:val="both"/>
        <w:rPr>
          <w:b w:val="0"/>
        </w:rPr>
      </w:pPr>
      <w:r>
        <w:rPr>
          <w:b w:val="0"/>
        </w:rPr>
        <w:t>4</w:t>
      </w:r>
      <w:r w:rsidR="00D5588E" w:rsidRPr="00D5588E">
        <w:rPr>
          <w:b w:val="0"/>
        </w:rPr>
        <w:t>)</w:t>
      </w:r>
      <w:r w:rsidR="00D5588E" w:rsidRPr="00D5588E">
        <w:rPr>
          <w:b w:val="0"/>
        </w:rPr>
        <w:tab/>
      </w:r>
      <w:r w:rsidR="001B3C78">
        <w:rPr>
          <w:b w:val="0"/>
        </w:rPr>
        <w:t>Informed</w:t>
      </w:r>
      <w:r w:rsidR="00CC3A64">
        <w:rPr>
          <w:b w:val="0"/>
        </w:rPr>
        <w:t xml:space="preserve"> j</w:t>
      </w:r>
      <w:r w:rsidR="00D5588E" w:rsidRPr="00D5588E">
        <w:rPr>
          <w:b w:val="0"/>
        </w:rPr>
        <w:t>udgment</w:t>
      </w:r>
      <w:r w:rsidR="000044DD">
        <w:rPr>
          <w:b w:val="0"/>
        </w:rPr>
        <w:t>.</w:t>
      </w:r>
    </w:p>
    <w:p w14:paraId="11D4D393" w14:textId="77777777" w:rsidR="00D5588E" w:rsidRPr="003A3426" w:rsidRDefault="00D5588E" w:rsidP="00D5588E">
      <w:pPr>
        <w:pStyle w:val="BodyText"/>
      </w:pPr>
    </w:p>
    <w:p w14:paraId="2CC5767C" w14:textId="77777777" w:rsidR="00D5588E" w:rsidRPr="00B23AAD" w:rsidRDefault="00D5588E" w:rsidP="00D5588E">
      <w:pPr>
        <w:pStyle w:val="Heading1"/>
        <w:jc w:val="left"/>
      </w:pPr>
      <w:bookmarkStart w:id="218" w:name="_Toc347120375"/>
      <w:bookmarkStart w:id="219" w:name="_Toc188257130"/>
      <w:bookmarkStart w:id="220" w:name="_Toc188257345"/>
      <w:bookmarkStart w:id="221" w:name="_Toc188257569"/>
      <w:bookmarkStart w:id="222" w:name="_Toc189162578"/>
      <w:r w:rsidRPr="00D5588E">
        <w:rPr>
          <w:rFonts w:ascii="Arial" w:hAnsi="Arial" w:cs="Arial"/>
          <w:b/>
          <w:color w:val="auto"/>
        </w:rPr>
        <w:t>3.1</w:t>
      </w:r>
      <w:r w:rsidRPr="00D5588E">
        <w:rPr>
          <w:rFonts w:ascii="Arial" w:hAnsi="Arial" w:cs="Arial"/>
          <w:b/>
          <w:color w:val="auto"/>
        </w:rPr>
        <w:tab/>
        <w:t>ECONOMETRIC REGRESSION</w:t>
      </w:r>
      <w:bookmarkEnd w:id="218"/>
      <w:bookmarkEnd w:id="219"/>
      <w:bookmarkEnd w:id="220"/>
      <w:bookmarkEnd w:id="221"/>
      <w:bookmarkEnd w:id="222"/>
    </w:p>
    <w:p w14:paraId="2E5F42D9" w14:textId="77777777" w:rsidR="00D5588E" w:rsidRDefault="00D5588E" w:rsidP="00D5588E">
      <w:pPr>
        <w:pStyle w:val="BodyText2"/>
        <w:jc w:val="left"/>
        <w:rPr>
          <w:b w:val="0"/>
        </w:rPr>
      </w:pPr>
    </w:p>
    <w:p w14:paraId="17944378" w14:textId="37331C7B" w:rsidR="00D5588E" w:rsidRPr="00D5588E" w:rsidRDefault="00D5588E" w:rsidP="000A189E">
      <w:pPr>
        <w:pStyle w:val="BodyText2"/>
        <w:spacing w:line="360" w:lineRule="auto"/>
        <w:jc w:val="both"/>
        <w:rPr>
          <w:b w:val="0"/>
        </w:rPr>
      </w:pPr>
      <w:r w:rsidRPr="00D5588E">
        <w:rPr>
          <w:b w:val="0"/>
        </w:rPr>
        <w:t xml:space="preserve">Econometric regression is a statistical technique with which model parameters are estimated from time series, cross sectional, or a combination of time series and cross sectional (pooled) data. Basic classical regression assumptions apply to the models. These models are well suited for modeling the relationships between energy consumption and explanatory variables such as economics, weather, and changes in behavior such as increases in the use of electronic devices in the home. </w:t>
      </w:r>
      <w:r w:rsidR="009B772D">
        <w:rPr>
          <w:b w:val="0"/>
        </w:rPr>
        <w:t xml:space="preserve">Georgia Power’s </w:t>
      </w:r>
      <w:r w:rsidR="00B06118">
        <w:rPr>
          <w:b w:val="0"/>
        </w:rPr>
        <w:t xml:space="preserve">customer and </w:t>
      </w:r>
      <w:r w:rsidR="009B772D">
        <w:rPr>
          <w:b w:val="0"/>
        </w:rPr>
        <w:t xml:space="preserve">short-term </w:t>
      </w:r>
      <w:r w:rsidR="00E15F85">
        <w:rPr>
          <w:b w:val="0"/>
        </w:rPr>
        <w:t xml:space="preserve">energy </w:t>
      </w:r>
      <w:r w:rsidR="009B772D">
        <w:rPr>
          <w:b w:val="0"/>
        </w:rPr>
        <w:t xml:space="preserve">forecasts </w:t>
      </w:r>
      <w:r w:rsidR="00904306">
        <w:rPr>
          <w:b w:val="0"/>
        </w:rPr>
        <w:t>(</w:t>
      </w:r>
      <w:r w:rsidR="00C22CEB">
        <w:rPr>
          <w:b w:val="0"/>
        </w:rPr>
        <w:t>2025</w:t>
      </w:r>
      <w:r w:rsidR="00904306">
        <w:rPr>
          <w:b w:val="0"/>
        </w:rPr>
        <w:t>-</w:t>
      </w:r>
      <w:r w:rsidR="00C22CEB">
        <w:rPr>
          <w:b w:val="0"/>
        </w:rPr>
        <w:t>202</w:t>
      </w:r>
      <w:r w:rsidR="00BA00DE">
        <w:rPr>
          <w:b w:val="0"/>
        </w:rPr>
        <w:t>9</w:t>
      </w:r>
      <w:r w:rsidR="00904306">
        <w:rPr>
          <w:b w:val="0"/>
        </w:rPr>
        <w:t xml:space="preserve">) </w:t>
      </w:r>
      <w:r w:rsidR="009B772D">
        <w:rPr>
          <w:b w:val="0"/>
        </w:rPr>
        <w:t>utilize econometric models.</w:t>
      </w:r>
    </w:p>
    <w:p w14:paraId="2DED14C2" w14:textId="7344BB00" w:rsidR="00D5588E" w:rsidRPr="00B23AAD" w:rsidRDefault="00D5588E" w:rsidP="00D5588E">
      <w:pPr>
        <w:pStyle w:val="Heading1"/>
        <w:jc w:val="left"/>
      </w:pPr>
      <w:bookmarkStart w:id="223" w:name="_Toc347120376"/>
      <w:bookmarkStart w:id="224" w:name="_Toc188257131"/>
      <w:bookmarkStart w:id="225" w:name="_Toc188257346"/>
      <w:bookmarkStart w:id="226" w:name="_Toc188257570"/>
      <w:bookmarkStart w:id="227" w:name="_Toc189162579"/>
      <w:r w:rsidRPr="00D5588E">
        <w:rPr>
          <w:rFonts w:ascii="Arial" w:hAnsi="Arial" w:cs="Arial"/>
          <w:b/>
          <w:color w:val="auto"/>
        </w:rPr>
        <w:t>3.2</w:t>
      </w:r>
      <w:r w:rsidRPr="00D5588E">
        <w:rPr>
          <w:rFonts w:ascii="Arial" w:hAnsi="Arial" w:cs="Arial"/>
          <w:b/>
          <w:color w:val="auto"/>
        </w:rPr>
        <w:tab/>
      </w:r>
      <w:bookmarkEnd w:id="223"/>
      <w:r w:rsidR="00BF7273">
        <w:rPr>
          <w:rFonts w:ascii="Arial" w:hAnsi="Arial" w:cs="Arial"/>
          <w:b/>
          <w:color w:val="auto"/>
        </w:rPr>
        <w:t>END-USE MODELS</w:t>
      </w:r>
      <w:bookmarkEnd w:id="224"/>
      <w:bookmarkEnd w:id="225"/>
      <w:bookmarkEnd w:id="226"/>
      <w:bookmarkEnd w:id="227"/>
    </w:p>
    <w:p w14:paraId="7B4218DC" w14:textId="77777777" w:rsidR="00D5588E" w:rsidRDefault="00D5588E" w:rsidP="00D5588E">
      <w:pPr>
        <w:pStyle w:val="BodyText2"/>
        <w:jc w:val="left"/>
        <w:rPr>
          <w:b w:val="0"/>
        </w:rPr>
      </w:pPr>
    </w:p>
    <w:p w14:paraId="31C0AD94" w14:textId="678A255F" w:rsidR="00D5588E" w:rsidRPr="00D5588E" w:rsidRDefault="00D5588E" w:rsidP="000A189E">
      <w:pPr>
        <w:pStyle w:val="BodyText2"/>
        <w:spacing w:line="360" w:lineRule="auto"/>
        <w:jc w:val="both"/>
        <w:rPr>
          <w:b w:val="0"/>
        </w:rPr>
      </w:pPr>
      <w:r w:rsidRPr="00D5588E">
        <w:rPr>
          <w:b w:val="0"/>
        </w:rPr>
        <w:t xml:space="preserve">End-use forecasting models are used to represent the elements of energy use in fine detail. </w:t>
      </w:r>
      <w:r w:rsidR="00B06118">
        <w:rPr>
          <w:b w:val="0"/>
        </w:rPr>
        <w:t>For example, e</w:t>
      </w:r>
      <w:r w:rsidRPr="00D5588E">
        <w:rPr>
          <w:b w:val="0"/>
        </w:rPr>
        <w:t xml:space="preserve">nd-use models estimate residential energy use by looking at appliance saturation and penetration surveys and then determining aggregate class usage by adding up all the elements of energy consumption across households. Each major energy-consuming activity – refrigeration, space heating, </w:t>
      </w:r>
      <w:r w:rsidR="00B06118">
        <w:rPr>
          <w:b w:val="0"/>
        </w:rPr>
        <w:t xml:space="preserve">lighting </w:t>
      </w:r>
      <w:r w:rsidRPr="00D5588E">
        <w:rPr>
          <w:b w:val="0"/>
        </w:rPr>
        <w:t>and the like – is identified, and the corresponding energy consumption is specified. This approach has a strong intuitive appeal because energy consumption is clearly associated with appliance use. The models can also produce energy sales forecasts of end-use equipment with a wide range of efficiency and usage sensitivities with respect to fuel prices, income levels, and other factors.</w:t>
      </w:r>
    </w:p>
    <w:p w14:paraId="47CFD1C5" w14:textId="77777777" w:rsidR="00D5588E" w:rsidRPr="00D5588E" w:rsidRDefault="00D5588E" w:rsidP="000A189E">
      <w:pPr>
        <w:pStyle w:val="BodyText2"/>
        <w:spacing w:line="360" w:lineRule="auto"/>
        <w:jc w:val="both"/>
        <w:rPr>
          <w:b w:val="0"/>
        </w:rPr>
      </w:pPr>
    </w:p>
    <w:p w14:paraId="0AAF4597" w14:textId="4D1FF1BE" w:rsidR="00D5588E" w:rsidRPr="00D5588E" w:rsidRDefault="00D5588E" w:rsidP="00CE5712">
      <w:pPr>
        <w:pStyle w:val="BodyText2"/>
        <w:spacing w:after="0" w:line="360" w:lineRule="auto"/>
        <w:jc w:val="both"/>
        <w:rPr>
          <w:b w:val="0"/>
        </w:rPr>
      </w:pPr>
      <w:r w:rsidRPr="00D5588E">
        <w:rPr>
          <w:b w:val="0"/>
        </w:rPr>
        <w:lastRenderedPageBreak/>
        <w:t>The detailed nature of end-use models is the</w:t>
      </w:r>
      <w:r w:rsidR="00E11A43">
        <w:rPr>
          <w:b w:val="0"/>
        </w:rPr>
        <w:t>ir</w:t>
      </w:r>
      <w:r w:rsidRPr="00D5588E">
        <w:rPr>
          <w:b w:val="0"/>
        </w:rPr>
        <w:t xml:space="preserve"> major advantage relative to econometric models, but the detailed input requirements are also the major source of their limitations. These models require extensive information about projected appliance market penetration and usage rates. It is a challenge to produce such projections that are sensitive to changes in energy prices, household incomes, and lifestyles.</w:t>
      </w:r>
      <w:r w:rsidR="00616255">
        <w:rPr>
          <w:b w:val="0"/>
        </w:rPr>
        <w:t xml:space="preserve"> </w:t>
      </w:r>
    </w:p>
    <w:p w14:paraId="010D6F3A" w14:textId="77777777" w:rsidR="00D5588E" w:rsidRPr="00D5588E" w:rsidRDefault="00D5588E" w:rsidP="00E61DF5">
      <w:pPr>
        <w:pStyle w:val="BodyText2"/>
        <w:spacing w:after="0" w:line="360" w:lineRule="auto"/>
        <w:jc w:val="both"/>
        <w:rPr>
          <w:b w:val="0"/>
        </w:rPr>
      </w:pPr>
    </w:p>
    <w:p w14:paraId="7B70AE7A" w14:textId="5BDD63B1" w:rsidR="00D5588E" w:rsidRPr="00D5588E" w:rsidRDefault="00D5588E" w:rsidP="00E61DF5">
      <w:pPr>
        <w:pStyle w:val="BodyText2"/>
        <w:spacing w:after="0" w:line="360" w:lineRule="auto"/>
        <w:jc w:val="both"/>
        <w:rPr>
          <w:b w:val="0"/>
        </w:rPr>
      </w:pPr>
      <w:r w:rsidRPr="00D5588E">
        <w:rPr>
          <w:b w:val="0"/>
        </w:rPr>
        <w:t xml:space="preserve">The end-use models used by Georgia Power </w:t>
      </w:r>
      <w:r w:rsidR="009B772D">
        <w:rPr>
          <w:b w:val="0"/>
        </w:rPr>
        <w:t xml:space="preserve">for its long-term energy forecasts </w:t>
      </w:r>
      <w:r w:rsidR="00B06118">
        <w:rPr>
          <w:b w:val="0"/>
        </w:rPr>
        <w:t>for the residential, commercial</w:t>
      </w:r>
      <w:r w:rsidR="00C47CDC">
        <w:rPr>
          <w:b w:val="0"/>
        </w:rPr>
        <w:t>,</w:t>
      </w:r>
      <w:r w:rsidR="00B06118">
        <w:rPr>
          <w:b w:val="0"/>
        </w:rPr>
        <w:t xml:space="preserve"> and industrial classes </w:t>
      </w:r>
      <w:r w:rsidRPr="00D5588E">
        <w:rPr>
          <w:b w:val="0"/>
        </w:rPr>
        <w:t xml:space="preserve">combine the benefits of end-use detail and class segmentation </w:t>
      </w:r>
      <w:r w:rsidR="00F42F94">
        <w:rPr>
          <w:b w:val="0"/>
        </w:rPr>
        <w:t>to estimate future energy consumption</w:t>
      </w:r>
      <w:r w:rsidRPr="00D5588E">
        <w:rPr>
          <w:b w:val="0"/>
        </w:rPr>
        <w:t xml:space="preserve">. </w:t>
      </w:r>
      <w:bookmarkStart w:id="228" w:name="_Hlk534296928"/>
      <w:r w:rsidRPr="00D5588E">
        <w:rPr>
          <w:b w:val="0"/>
        </w:rPr>
        <w:t xml:space="preserve">These models </w:t>
      </w:r>
      <w:r w:rsidR="00EC383C">
        <w:rPr>
          <w:b w:val="0"/>
        </w:rPr>
        <w:t>utilize</w:t>
      </w:r>
      <w:r w:rsidRPr="00D5588E">
        <w:rPr>
          <w:b w:val="0"/>
        </w:rPr>
        <w:t xml:space="preserve"> econometric</w:t>
      </w:r>
      <w:r w:rsidR="00EC383C">
        <w:rPr>
          <w:b w:val="0"/>
        </w:rPr>
        <w:t xml:space="preserve"> technique</w:t>
      </w:r>
      <w:r w:rsidRPr="00D5588E">
        <w:rPr>
          <w:b w:val="0"/>
        </w:rPr>
        <w:t>s</w:t>
      </w:r>
      <w:r w:rsidR="00EC383C">
        <w:rPr>
          <w:b w:val="0"/>
        </w:rPr>
        <w:t xml:space="preserve"> to model consumer choice</w:t>
      </w:r>
      <w:r w:rsidR="00C862EE">
        <w:rPr>
          <w:b w:val="0"/>
        </w:rPr>
        <w:t>s</w:t>
      </w:r>
      <w:r w:rsidR="00EC383C">
        <w:rPr>
          <w:b w:val="0"/>
        </w:rPr>
        <w:t xml:space="preserve"> of end uses based </w:t>
      </w:r>
      <w:r w:rsidR="00ED1E57">
        <w:rPr>
          <w:b w:val="0"/>
        </w:rPr>
        <w:t xml:space="preserve">on </w:t>
      </w:r>
      <w:r w:rsidR="00EC383C">
        <w:rPr>
          <w:b w:val="0"/>
        </w:rPr>
        <w:t>economic principles</w:t>
      </w:r>
      <w:r w:rsidRPr="00D5588E">
        <w:rPr>
          <w:b w:val="0"/>
        </w:rPr>
        <w:t>.</w:t>
      </w:r>
      <w:bookmarkEnd w:id="228"/>
    </w:p>
    <w:p w14:paraId="57BFE260" w14:textId="0CE82411" w:rsidR="00B225C4" w:rsidRDefault="00B225C4" w:rsidP="00D5588E">
      <w:pPr>
        <w:pStyle w:val="Heading1"/>
        <w:jc w:val="left"/>
        <w:rPr>
          <w:rFonts w:ascii="Arial" w:hAnsi="Arial" w:cs="Arial"/>
          <w:b/>
          <w:color w:val="auto"/>
        </w:rPr>
      </w:pPr>
      <w:bookmarkStart w:id="229" w:name="_Toc188257132"/>
      <w:bookmarkStart w:id="230" w:name="_Toc188257347"/>
      <w:bookmarkStart w:id="231" w:name="_Toc188257571"/>
      <w:bookmarkStart w:id="232" w:name="_Toc347120377"/>
      <w:bookmarkStart w:id="233" w:name="_Toc189162580"/>
      <w:r>
        <w:rPr>
          <w:rFonts w:ascii="Arial" w:hAnsi="Arial" w:cs="Arial"/>
          <w:b/>
          <w:color w:val="auto"/>
        </w:rPr>
        <w:t xml:space="preserve">3.3 </w:t>
      </w:r>
      <w:r>
        <w:rPr>
          <w:rFonts w:ascii="Arial" w:hAnsi="Arial" w:cs="Arial"/>
          <w:b/>
          <w:color w:val="auto"/>
        </w:rPr>
        <w:tab/>
        <w:t>MONTE CARLO SIMULATION</w:t>
      </w:r>
      <w:bookmarkEnd w:id="229"/>
      <w:bookmarkEnd w:id="230"/>
      <w:bookmarkEnd w:id="231"/>
      <w:bookmarkEnd w:id="233"/>
    </w:p>
    <w:p w14:paraId="07B3390F" w14:textId="77777777" w:rsidR="00797F67" w:rsidRPr="00797F67" w:rsidRDefault="00797F67" w:rsidP="00CE5712"/>
    <w:p w14:paraId="19C46FA0" w14:textId="77777777" w:rsidR="00B225C4" w:rsidRDefault="00B225C4" w:rsidP="002D1734">
      <w:pPr>
        <w:jc w:val="both"/>
      </w:pPr>
    </w:p>
    <w:p w14:paraId="632D99B7" w14:textId="06DF9B37" w:rsidR="00D73797" w:rsidRPr="00C238F3" w:rsidRDefault="00D73797" w:rsidP="00D73797">
      <w:pPr>
        <w:keepNext/>
        <w:keepLines/>
        <w:spacing w:line="360" w:lineRule="auto"/>
        <w:jc w:val="both"/>
        <w:rPr>
          <w:b w:val="0"/>
          <w:bCs/>
        </w:rPr>
      </w:pPr>
      <w:r w:rsidRPr="00C238F3">
        <w:rPr>
          <w:b w:val="0"/>
          <w:bCs/>
        </w:rPr>
        <w:t xml:space="preserve">Monte Carlo simulation is a mathematical technique that is used to </w:t>
      </w:r>
      <w:r w:rsidR="00C248D5">
        <w:rPr>
          <w:b w:val="0"/>
          <w:bCs/>
        </w:rPr>
        <w:t xml:space="preserve">develop and </w:t>
      </w:r>
      <w:r w:rsidR="001142C5">
        <w:rPr>
          <w:b w:val="0"/>
          <w:bCs/>
        </w:rPr>
        <w:t>quantify</w:t>
      </w:r>
      <w:r w:rsidRPr="00C238F3">
        <w:rPr>
          <w:b w:val="0"/>
          <w:bCs/>
        </w:rPr>
        <w:t xml:space="preserve"> possible outcomes of a portfolio with uncertain events. Unlike a </w:t>
      </w:r>
      <w:r w:rsidR="00E12D33">
        <w:rPr>
          <w:b w:val="0"/>
          <w:bCs/>
        </w:rPr>
        <w:t>traditional</w:t>
      </w:r>
      <w:r w:rsidR="00E12D33" w:rsidRPr="00C238F3">
        <w:rPr>
          <w:b w:val="0"/>
          <w:bCs/>
        </w:rPr>
        <w:t xml:space="preserve"> </w:t>
      </w:r>
      <w:r w:rsidRPr="00C238F3">
        <w:rPr>
          <w:b w:val="0"/>
          <w:bCs/>
        </w:rPr>
        <w:t xml:space="preserve">forecasting model, Monte Carlo simulation </w:t>
      </w:r>
      <w:r w:rsidR="006309D8">
        <w:rPr>
          <w:b w:val="0"/>
          <w:bCs/>
        </w:rPr>
        <w:t>provides</w:t>
      </w:r>
      <w:r w:rsidRPr="00C238F3">
        <w:rPr>
          <w:b w:val="0"/>
          <w:bCs/>
        </w:rPr>
        <w:t xml:space="preserve"> a </w:t>
      </w:r>
      <w:r w:rsidR="005C31D4">
        <w:rPr>
          <w:b w:val="0"/>
          <w:bCs/>
        </w:rPr>
        <w:t>range</w:t>
      </w:r>
      <w:r w:rsidRPr="00C238F3">
        <w:rPr>
          <w:b w:val="0"/>
          <w:bCs/>
        </w:rPr>
        <w:t xml:space="preserve"> of outcomes based on estimated values </w:t>
      </w:r>
      <w:r w:rsidR="00911D19">
        <w:rPr>
          <w:b w:val="0"/>
          <w:bCs/>
        </w:rPr>
        <w:t>rather t</w:t>
      </w:r>
      <w:r w:rsidR="00872B7D">
        <w:rPr>
          <w:b w:val="0"/>
          <w:bCs/>
        </w:rPr>
        <w:t>han</w:t>
      </w:r>
      <w:r w:rsidRPr="00C238F3">
        <w:rPr>
          <w:b w:val="0"/>
          <w:bCs/>
        </w:rPr>
        <w:t xml:space="preserve"> fixed input values. The simulation assigns random values to input variables with uncertainty</w:t>
      </w:r>
      <w:r w:rsidR="00217835">
        <w:rPr>
          <w:b w:val="0"/>
          <w:bCs/>
        </w:rPr>
        <w:t>,</w:t>
      </w:r>
      <w:r w:rsidRPr="00C238F3">
        <w:rPr>
          <w:b w:val="0"/>
          <w:bCs/>
        </w:rPr>
        <w:t xml:space="preserve"> based on a chosen probability distribution, </w:t>
      </w:r>
      <w:r w:rsidR="008F0166">
        <w:rPr>
          <w:b w:val="0"/>
          <w:bCs/>
        </w:rPr>
        <w:t>such as</w:t>
      </w:r>
      <w:r w:rsidRPr="00C238F3">
        <w:rPr>
          <w:b w:val="0"/>
          <w:bCs/>
        </w:rPr>
        <w:t xml:space="preserve"> </w:t>
      </w:r>
      <w:r w:rsidR="00797F67">
        <w:rPr>
          <w:b w:val="0"/>
          <w:bCs/>
        </w:rPr>
        <w:t xml:space="preserve">normal </w:t>
      </w:r>
      <w:r w:rsidRPr="00C238F3">
        <w:rPr>
          <w:b w:val="0"/>
          <w:bCs/>
        </w:rPr>
        <w:t xml:space="preserve">or a </w:t>
      </w:r>
      <w:r w:rsidR="00797F67">
        <w:rPr>
          <w:b w:val="0"/>
          <w:bCs/>
        </w:rPr>
        <w:t>triangular</w:t>
      </w:r>
      <w:r w:rsidRPr="00C238F3">
        <w:rPr>
          <w:b w:val="0"/>
          <w:bCs/>
        </w:rPr>
        <w:t xml:space="preserve"> distribution, and calculates an outcome. </w:t>
      </w:r>
      <w:r w:rsidR="00213198">
        <w:rPr>
          <w:b w:val="0"/>
          <w:bCs/>
        </w:rPr>
        <w:t>This</w:t>
      </w:r>
      <w:r w:rsidRPr="00C238F3">
        <w:rPr>
          <w:b w:val="0"/>
          <w:bCs/>
        </w:rPr>
        <w:t xml:space="preserve"> process </w:t>
      </w:r>
      <w:r w:rsidR="005D7F97">
        <w:rPr>
          <w:b w:val="0"/>
          <w:bCs/>
        </w:rPr>
        <w:t>is repeated</w:t>
      </w:r>
      <w:r w:rsidR="00C83AC1">
        <w:rPr>
          <w:b w:val="0"/>
          <w:bCs/>
        </w:rPr>
        <w:t xml:space="preserve"> numer</w:t>
      </w:r>
      <w:r w:rsidR="004E2646">
        <w:rPr>
          <w:b w:val="0"/>
          <w:bCs/>
        </w:rPr>
        <w:t xml:space="preserve">ous times </w:t>
      </w:r>
      <w:r w:rsidRPr="00C238F3">
        <w:rPr>
          <w:b w:val="0"/>
          <w:bCs/>
        </w:rPr>
        <w:t>(</w:t>
      </w:r>
      <w:r w:rsidR="00392C59">
        <w:rPr>
          <w:b w:val="0"/>
          <w:bCs/>
        </w:rPr>
        <w:t xml:space="preserve">often </w:t>
      </w:r>
      <w:r w:rsidR="00E93F26">
        <w:rPr>
          <w:b w:val="0"/>
          <w:bCs/>
        </w:rPr>
        <w:t>hundreds of</w:t>
      </w:r>
      <w:r w:rsidRPr="00C238F3">
        <w:rPr>
          <w:b w:val="0"/>
          <w:bCs/>
        </w:rPr>
        <w:t xml:space="preserve"> thousands), each time using a different set of random inputs, to produce a large number of </w:t>
      </w:r>
      <w:r w:rsidR="00C723E0">
        <w:rPr>
          <w:b w:val="0"/>
          <w:bCs/>
        </w:rPr>
        <w:t xml:space="preserve">possible </w:t>
      </w:r>
      <w:r w:rsidRPr="00C238F3">
        <w:rPr>
          <w:b w:val="0"/>
          <w:bCs/>
        </w:rPr>
        <w:t>outcomes.</w:t>
      </w:r>
    </w:p>
    <w:p w14:paraId="0C7FA83B" w14:textId="77777777" w:rsidR="00D73797" w:rsidRPr="00C238F3" w:rsidRDefault="00D73797" w:rsidP="00D73797">
      <w:pPr>
        <w:keepNext/>
        <w:keepLines/>
        <w:spacing w:line="360" w:lineRule="auto"/>
        <w:jc w:val="both"/>
        <w:rPr>
          <w:b w:val="0"/>
          <w:bCs/>
        </w:rPr>
      </w:pPr>
    </w:p>
    <w:p w14:paraId="747D9709" w14:textId="2362427F" w:rsidR="002D2FAD" w:rsidRPr="00C238F3" w:rsidRDefault="002D2FAD" w:rsidP="00D73797">
      <w:pPr>
        <w:keepNext/>
        <w:keepLines/>
        <w:spacing w:line="360" w:lineRule="auto"/>
        <w:jc w:val="both"/>
        <w:rPr>
          <w:b w:val="0"/>
          <w:bCs/>
        </w:rPr>
      </w:pPr>
      <w:r w:rsidRPr="00C238F3">
        <w:rPr>
          <w:b w:val="0"/>
          <w:bCs/>
        </w:rPr>
        <w:t>The portfolio of large load projects being assessed by the Company</w:t>
      </w:r>
      <w:r w:rsidRPr="00C238F3" w:rsidDel="002813B3">
        <w:rPr>
          <w:b w:val="0"/>
          <w:bCs/>
        </w:rPr>
        <w:t xml:space="preserve"> </w:t>
      </w:r>
      <w:r w:rsidRPr="00C238F3">
        <w:rPr>
          <w:b w:val="0"/>
          <w:bCs/>
        </w:rPr>
        <w:t xml:space="preserve">consists of projects in </w:t>
      </w:r>
      <w:r w:rsidR="00587598">
        <w:rPr>
          <w:b w:val="0"/>
          <w:bCs/>
        </w:rPr>
        <w:t>various</w:t>
      </w:r>
      <w:r w:rsidR="00587598" w:rsidRPr="00C238F3">
        <w:rPr>
          <w:b w:val="0"/>
          <w:bCs/>
        </w:rPr>
        <w:t xml:space="preserve"> </w:t>
      </w:r>
      <w:r w:rsidRPr="00C238F3">
        <w:rPr>
          <w:b w:val="0"/>
          <w:bCs/>
        </w:rPr>
        <w:t>phases of development, ranging from early stages, such as the state selection or site selection, to those under construction and projected to be served by the Company. This creates multiple dimensions of uncertainty for each project</w:t>
      </w:r>
      <w:r w:rsidR="00D616B4">
        <w:rPr>
          <w:b w:val="0"/>
          <w:bCs/>
        </w:rPr>
        <w:t>,</w:t>
      </w:r>
      <w:r w:rsidRPr="00C238F3">
        <w:rPr>
          <w:b w:val="0"/>
          <w:bCs/>
        </w:rPr>
        <w:t xml:space="preserve"> </w:t>
      </w:r>
      <w:r w:rsidR="00A22267">
        <w:rPr>
          <w:b w:val="0"/>
          <w:bCs/>
        </w:rPr>
        <w:t>making</w:t>
      </w:r>
      <w:r w:rsidRPr="00C238F3">
        <w:rPr>
          <w:b w:val="0"/>
          <w:bCs/>
        </w:rPr>
        <w:t xml:space="preserve"> Monte Carlo simulation </w:t>
      </w:r>
      <w:r w:rsidR="00536F23">
        <w:rPr>
          <w:b w:val="0"/>
          <w:bCs/>
        </w:rPr>
        <w:t xml:space="preserve">an appropriate </w:t>
      </w:r>
      <w:r w:rsidR="006C4E9E">
        <w:rPr>
          <w:b w:val="0"/>
          <w:bCs/>
        </w:rPr>
        <w:t>technique</w:t>
      </w:r>
      <w:r w:rsidR="00BF2D0D">
        <w:rPr>
          <w:b w:val="0"/>
          <w:bCs/>
        </w:rPr>
        <w:t xml:space="preserve"> </w:t>
      </w:r>
      <w:r w:rsidRPr="00C238F3">
        <w:rPr>
          <w:b w:val="0"/>
          <w:bCs/>
        </w:rPr>
        <w:t xml:space="preserve">to </w:t>
      </w:r>
      <w:r w:rsidR="00293229">
        <w:rPr>
          <w:b w:val="0"/>
          <w:bCs/>
        </w:rPr>
        <w:t xml:space="preserve">develop a </w:t>
      </w:r>
      <w:r w:rsidR="00DB039D">
        <w:rPr>
          <w:b w:val="0"/>
          <w:bCs/>
        </w:rPr>
        <w:t>load distribution</w:t>
      </w:r>
      <w:r w:rsidR="00C238F3">
        <w:rPr>
          <w:b w:val="0"/>
          <w:bCs/>
        </w:rPr>
        <w:t xml:space="preserve"> </w:t>
      </w:r>
      <w:r w:rsidR="00364C88">
        <w:rPr>
          <w:b w:val="0"/>
          <w:bCs/>
        </w:rPr>
        <w:t xml:space="preserve">for </w:t>
      </w:r>
      <w:r w:rsidR="00C238F3">
        <w:rPr>
          <w:b w:val="0"/>
          <w:bCs/>
        </w:rPr>
        <w:t>the</w:t>
      </w:r>
      <w:r w:rsidRPr="00C238F3">
        <w:rPr>
          <w:b w:val="0"/>
          <w:bCs/>
        </w:rPr>
        <w:t xml:space="preserve"> load to serve.</w:t>
      </w:r>
    </w:p>
    <w:p w14:paraId="4C4CDDBB" w14:textId="2EAB1687" w:rsidR="000C5638" w:rsidRPr="005B55B0" w:rsidRDefault="00F47906" w:rsidP="00C238F3">
      <w:pPr>
        <w:pStyle w:val="BodyText2"/>
        <w:spacing w:before="240" w:line="360" w:lineRule="auto"/>
        <w:jc w:val="both"/>
      </w:pPr>
      <w:r>
        <w:rPr>
          <w:b w:val="0"/>
          <w:bCs/>
        </w:rPr>
        <w:t>The Load Realization Model, which uses this</w:t>
      </w:r>
      <w:r w:rsidRPr="00C238F3">
        <w:rPr>
          <w:b w:val="0"/>
          <w:bCs/>
        </w:rPr>
        <w:t xml:space="preserve"> </w:t>
      </w:r>
      <w:r w:rsidR="00D73797" w:rsidRPr="00C238F3">
        <w:rPr>
          <w:b w:val="0"/>
          <w:bCs/>
        </w:rPr>
        <w:t>probabilistic approach</w:t>
      </w:r>
      <w:r>
        <w:rPr>
          <w:b w:val="0"/>
          <w:bCs/>
        </w:rPr>
        <w:t>,</w:t>
      </w:r>
      <w:r w:rsidR="00D73797">
        <w:rPr>
          <w:b w:val="0"/>
          <w:bCs/>
        </w:rPr>
        <w:t xml:space="preserve"> was first used in Georgia Power’s 2023 IRP Update to </w:t>
      </w:r>
      <w:r w:rsidR="00D73797" w:rsidRPr="00C238F3">
        <w:rPr>
          <w:b w:val="0"/>
          <w:bCs/>
        </w:rPr>
        <w:t xml:space="preserve">evaluate the range and likelihood of future potential outcomes of load growth from new large customers. The results of this approach support the external adjustment applied to the </w:t>
      </w:r>
      <w:r w:rsidR="00882E3D">
        <w:rPr>
          <w:b w:val="0"/>
          <w:bCs/>
        </w:rPr>
        <w:t>c</w:t>
      </w:r>
      <w:r w:rsidR="00882E3D" w:rsidRPr="00C238F3">
        <w:rPr>
          <w:b w:val="0"/>
          <w:bCs/>
        </w:rPr>
        <w:t xml:space="preserve">ommercial </w:t>
      </w:r>
      <w:r w:rsidR="00D73797" w:rsidRPr="00C238F3">
        <w:rPr>
          <w:b w:val="0"/>
          <w:bCs/>
        </w:rPr>
        <w:t xml:space="preserve">and </w:t>
      </w:r>
      <w:r w:rsidR="00882E3D">
        <w:rPr>
          <w:b w:val="0"/>
          <w:bCs/>
        </w:rPr>
        <w:t>i</w:t>
      </w:r>
      <w:r w:rsidR="00882E3D" w:rsidRPr="00C238F3">
        <w:rPr>
          <w:b w:val="0"/>
          <w:bCs/>
        </w:rPr>
        <w:t xml:space="preserve">ndustrial </w:t>
      </w:r>
      <w:r w:rsidR="00D73797" w:rsidRPr="00C238F3">
        <w:rPr>
          <w:b w:val="0"/>
          <w:bCs/>
        </w:rPr>
        <w:t>load and energy forecasts.</w:t>
      </w:r>
      <w:r w:rsidR="00616255">
        <w:rPr>
          <w:rFonts w:asciiTheme="minorHAnsi" w:hAnsiTheme="minorHAnsi" w:cstheme="minorHAnsi"/>
          <w:sz w:val="22"/>
          <w:szCs w:val="22"/>
        </w:rPr>
        <w:t xml:space="preserve"> </w:t>
      </w:r>
    </w:p>
    <w:p w14:paraId="2CE2772F" w14:textId="6E5906F2" w:rsidR="00D5588E" w:rsidRPr="00B23AAD" w:rsidRDefault="00D5588E" w:rsidP="00FD4884">
      <w:pPr>
        <w:pStyle w:val="Heading1"/>
        <w:tabs>
          <w:tab w:val="left" w:pos="720"/>
          <w:tab w:val="left" w:pos="1440"/>
          <w:tab w:val="left" w:pos="2160"/>
          <w:tab w:val="left" w:pos="2880"/>
          <w:tab w:val="left" w:pos="3600"/>
          <w:tab w:val="right" w:pos="9173"/>
        </w:tabs>
        <w:jc w:val="left"/>
      </w:pPr>
      <w:bookmarkStart w:id="234" w:name="_Toc188257133"/>
      <w:bookmarkStart w:id="235" w:name="_Toc188257348"/>
      <w:bookmarkStart w:id="236" w:name="_Toc188257572"/>
      <w:bookmarkStart w:id="237" w:name="_Toc189162581"/>
      <w:r w:rsidRPr="00D5588E">
        <w:rPr>
          <w:rFonts w:ascii="Arial" w:hAnsi="Arial" w:cs="Arial"/>
          <w:b/>
          <w:color w:val="auto"/>
        </w:rPr>
        <w:t>3.</w:t>
      </w:r>
      <w:r w:rsidR="00B225C4">
        <w:rPr>
          <w:rFonts w:ascii="Arial" w:hAnsi="Arial" w:cs="Arial"/>
          <w:b/>
          <w:color w:val="auto"/>
        </w:rPr>
        <w:t>4</w:t>
      </w:r>
      <w:r w:rsidRPr="00D5588E">
        <w:rPr>
          <w:rFonts w:ascii="Arial" w:hAnsi="Arial" w:cs="Arial"/>
          <w:b/>
          <w:color w:val="auto"/>
        </w:rPr>
        <w:tab/>
      </w:r>
      <w:r w:rsidR="00905E80">
        <w:rPr>
          <w:rFonts w:ascii="Arial" w:hAnsi="Arial" w:cs="Arial"/>
          <w:b/>
          <w:color w:val="auto"/>
        </w:rPr>
        <w:t>INFORMED</w:t>
      </w:r>
      <w:r w:rsidR="00CC3A64">
        <w:rPr>
          <w:rFonts w:ascii="Arial" w:hAnsi="Arial" w:cs="Arial"/>
          <w:b/>
          <w:color w:val="auto"/>
        </w:rPr>
        <w:t xml:space="preserve"> </w:t>
      </w:r>
      <w:r w:rsidRPr="00D5588E">
        <w:rPr>
          <w:rFonts w:ascii="Arial" w:hAnsi="Arial" w:cs="Arial"/>
          <w:b/>
          <w:color w:val="auto"/>
        </w:rPr>
        <w:t>JUDGMENT</w:t>
      </w:r>
      <w:bookmarkEnd w:id="232"/>
      <w:bookmarkEnd w:id="234"/>
      <w:bookmarkEnd w:id="235"/>
      <w:bookmarkEnd w:id="236"/>
      <w:bookmarkEnd w:id="237"/>
      <w:r w:rsidR="00F82659">
        <w:rPr>
          <w:rFonts w:ascii="Arial" w:hAnsi="Arial" w:cs="Arial"/>
          <w:b/>
          <w:color w:val="auto"/>
        </w:rPr>
        <w:tab/>
      </w:r>
    </w:p>
    <w:p w14:paraId="070304A5" w14:textId="77777777" w:rsidR="00D5588E" w:rsidRDefault="00D5588E" w:rsidP="00AD0B92">
      <w:pPr>
        <w:pStyle w:val="BodyText2"/>
        <w:spacing w:after="0"/>
        <w:jc w:val="left"/>
        <w:rPr>
          <w:b w:val="0"/>
        </w:rPr>
      </w:pPr>
    </w:p>
    <w:p w14:paraId="4C4EEDB5" w14:textId="488FBC94" w:rsidR="002F4778" w:rsidRDefault="00D5588E" w:rsidP="000A189E">
      <w:pPr>
        <w:pStyle w:val="BodyText2"/>
        <w:spacing w:line="360" w:lineRule="auto"/>
        <w:jc w:val="both"/>
        <w:rPr>
          <w:b w:val="0"/>
        </w:rPr>
      </w:pPr>
      <w:r w:rsidRPr="00D5588E">
        <w:rPr>
          <w:b w:val="0"/>
        </w:rPr>
        <w:t xml:space="preserve">Even the </w:t>
      </w:r>
      <w:r w:rsidR="00F2338F">
        <w:rPr>
          <w:b w:val="0"/>
        </w:rPr>
        <w:t>most advanced modeling techniques</w:t>
      </w:r>
      <w:r w:rsidR="00114110">
        <w:rPr>
          <w:b w:val="0"/>
        </w:rPr>
        <w:t xml:space="preserve"> </w:t>
      </w:r>
      <w:r w:rsidR="00E56993">
        <w:rPr>
          <w:b w:val="0"/>
        </w:rPr>
        <w:t>require</w:t>
      </w:r>
      <w:r w:rsidR="00284D1C">
        <w:rPr>
          <w:b w:val="0"/>
        </w:rPr>
        <w:t xml:space="preserve"> the</w:t>
      </w:r>
      <w:r w:rsidR="00EA4B40">
        <w:rPr>
          <w:b w:val="0"/>
        </w:rPr>
        <w:t xml:space="preserve"> </w:t>
      </w:r>
      <w:r w:rsidR="000E1948">
        <w:rPr>
          <w:b w:val="0"/>
        </w:rPr>
        <w:t>use of</w:t>
      </w:r>
      <w:r w:rsidRPr="00D5588E">
        <w:rPr>
          <w:b w:val="0"/>
        </w:rPr>
        <w:t xml:space="preserve"> insights gained through </w:t>
      </w:r>
      <w:r w:rsidR="00E63AB1">
        <w:rPr>
          <w:b w:val="0"/>
        </w:rPr>
        <w:t xml:space="preserve">experience serving customers, </w:t>
      </w:r>
      <w:r w:rsidR="00284D1C">
        <w:rPr>
          <w:b w:val="0"/>
        </w:rPr>
        <w:t xml:space="preserve">maintaining </w:t>
      </w:r>
      <w:r w:rsidRPr="00D5588E">
        <w:rPr>
          <w:b w:val="0"/>
        </w:rPr>
        <w:t>relationships</w:t>
      </w:r>
      <w:r w:rsidR="001A74FA">
        <w:rPr>
          <w:b w:val="0"/>
        </w:rPr>
        <w:t>,</w:t>
      </w:r>
      <w:r w:rsidRPr="00D5588E">
        <w:rPr>
          <w:b w:val="0"/>
        </w:rPr>
        <w:t xml:space="preserve"> and </w:t>
      </w:r>
      <w:r w:rsidR="007F5D13">
        <w:rPr>
          <w:b w:val="0"/>
        </w:rPr>
        <w:t>engaging</w:t>
      </w:r>
      <w:r w:rsidRPr="00D5588E">
        <w:rPr>
          <w:b w:val="0"/>
        </w:rPr>
        <w:t xml:space="preserve"> with marketing personnel. </w:t>
      </w:r>
      <w:r w:rsidR="00CC3A64">
        <w:rPr>
          <w:b w:val="0"/>
        </w:rPr>
        <w:t xml:space="preserve">Company personnel can provide </w:t>
      </w:r>
      <w:r w:rsidR="00557050">
        <w:rPr>
          <w:b w:val="0"/>
        </w:rPr>
        <w:t xml:space="preserve">valuable </w:t>
      </w:r>
      <w:r w:rsidR="00CC3A64">
        <w:rPr>
          <w:b w:val="0"/>
        </w:rPr>
        <w:t xml:space="preserve">insights on industry trends and </w:t>
      </w:r>
      <w:r w:rsidR="00C94563">
        <w:rPr>
          <w:b w:val="0"/>
        </w:rPr>
        <w:t xml:space="preserve">specific </w:t>
      </w:r>
      <w:r w:rsidR="00CC3A64">
        <w:rPr>
          <w:b w:val="0"/>
        </w:rPr>
        <w:t>customer information</w:t>
      </w:r>
      <w:r w:rsidR="00CA28A1">
        <w:rPr>
          <w:b w:val="0"/>
        </w:rPr>
        <w:t>,</w:t>
      </w:r>
      <w:r w:rsidR="00CC3A64">
        <w:rPr>
          <w:b w:val="0"/>
        </w:rPr>
        <w:t xml:space="preserve"> such as </w:t>
      </w:r>
      <w:r w:rsidR="003C3AB9">
        <w:rPr>
          <w:b w:val="0"/>
        </w:rPr>
        <w:lastRenderedPageBreak/>
        <w:t xml:space="preserve">the addition of </w:t>
      </w:r>
      <w:r w:rsidRPr="00D5588E">
        <w:rPr>
          <w:b w:val="0"/>
        </w:rPr>
        <w:t xml:space="preserve">on-site generation equipment at existing sites, </w:t>
      </w:r>
      <w:r w:rsidR="00CD0E2C">
        <w:rPr>
          <w:b w:val="0"/>
        </w:rPr>
        <w:t xml:space="preserve">the closure of </w:t>
      </w:r>
      <w:r w:rsidRPr="00D5588E">
        <w:rPr>
          <w:b w:val="0"/>
        </w:rPr>
        <w:t>industrial plant</w:t>
      </w:r>
      <w:r w:rsidR="006220D9">
        <w:rPr>
          <w:b w:val="0"/>
        </w:rPr>
        <w:t>s</w:t>
      </w:r>
      <w:r w:rsidRPr="00D5588E">
        <w:rPr>
          <w:b w:val="0"/>
        </w:rPr>
        <w:t>, or</w:t>
      </w:r>
      <w:r w:rsidR="00F030FE">
        <w:rPr>
          <w:b w:val="0"/>
        </w:rPr>
        <w:t xml:space="preserve"> the consideration of</w:t>
      </w:r>
      <w:r w:rsidRPr="00D5588E">
        <w:rPr>
          <w:b w:val="0"/>
        </w:rPr>
        <w:t xml:space="preserve"> </w:t>
      </w:r>
      <w:r w:rsidR="00CC3A64">
        <w:rPr>
          <w:b w:val="0"/>
        </w:rPr>
        <w:t xml:space="preserve">new </w:t>
      </w:r>
      <w:r w:rsidR="00885D6F">
        <w:rPr>
          <w:b w:val="0"/>
        </w:rPr>
        <w:t>facilities</w:t>
      </w:r>
      <w:r w:rsidR="00084FAA">
        <w:rPr>
          <w:b w:val="0"/>
        </w:rPr>
        <w:t xml:space="preserve"> by</w:t>
      </w:r>
      <w:r w:rsidR="00473464">
        <w:rPr>
          <w:b w:val="0"/>
        </w:rPr>
        <w:t xml:space="preserve"> </w:t>
      </w:r>
      <w:r w:rsidRPr="00D5588E">
        <w:rPr>
          <w:b w:val="0"/>
        </w:rPr>
        <w:t xml:space="preserve">large </w:t>
      </w:r>
      <w:r w:rsidR="0036595D">
        <w:rPr>
          <w:b w:val="0"/>
        </w:rPr>
        <w:t xml:space="preserve">new </w:t>
      </w:r>
      <w:r w:rsidRPr="00D5588E">
        <w:rPr>
          <w:b w:val="0"/>
        </w:rPr>
        <w:t>customer</w:t>
      </w:r>
      <w:r w:rsidR="00473464">
        <w:rPr>
          <w:b w:val="0"/>
        </w:rPr>
        <w:t>s</w:t>
      </w:r>
      <w:r w:rsidR="00CC3A64">
        <w:rPr>
          <w:b w:val="0"/>
        </w:rPr>
        <w:t xml:space="preserve">. In these </w:t>
      </w:r>
      <w:r w:rsidR="008176B8">
        <w:rPr>
          <w:b w:val="0"/>
        </w:rPr>
        <w:t>situations</w:t>
      </w:r>
      <w:r w:rsidR="00CC3A64">
        <w:rPr>
          <w:b w:val="0"/>
        </w:rPr>
        <w:t>,</w:t>
      </w:r>
      <w:r w:rsidRPr="00D5588E">
        <w:rPr>
          <w:b w:val="0"/>
        </w:rPr>
        <w:t xml:space="preserve"> </w:t>
      </w:r>
      <w:r w:rsidR="00674691">
        <w:rPr>
          <w:b w:val="0"/>
        </w:rPr>
        <w:t>econometric and end-use</w:t>
      </w:r>
      <w:r w:rsidRPr="00D5588E">
        <w:rPr>
          <w:b w:val="0"/>
        </w:rPr>
        <w:t xml:space="preserve"> models </w:t>
      </w:r>
      <w:r w:rsidR="001A74FA">
        <w:rPr>
          <w:b w:val="0"/>
        </w:rPr>
        <w:t>alone</w:t>
      </w:r>
      <w:r w:rsidRPr="00D5588E">
        <w:rPr>
          <w:b w:val="0"/>
        </w:rPr>
        <w:t xml:space="preserve"> may not be able to </w:t>
      </w:r>
      <w:r w:rsidR="00674691">
        <w:rPr>
          <w:b w:val="0"/>
        </w:rPr>
        <w:t xml:space="preserve">adequately </w:t>
      </w:r>
      <w:r w:rsidRPr="00D5588E">
        <w:rPr>
          <w:b w:val="0"/>
        </w:rPr>
        <w:t xml:space="preserve">capture the </w:t>
      </w:r>
      <w:r w:rsidR="00403FDF">
        <w:rPr>
          <w:b w:val="0"/>
        </w:rPr>
        <w:t xml:space="preserve">load we </w:t>
      </w:r>
      <w:r w:rsidR="00AB5D57">
        <w:rPr>
          <w:b w:val="0"/>
        </w:rPr>
        <w:t>will be required to serve</w:t>
      </w:r>
      <w:r w:rsidRPr="00D5588E">
        <w:rPr>
          <w:b w:val="0"/>
        </w:rPr>
        <w:t xml:space="preserve">. </w:t>
      </w:r>
    </w:p>
    <w:p w14:paraId="19D5D4C2" w14:textId="76F7E456" w:rsidR="00D5588E" w:rsidRDefault="003850E0" w:rsidP="00045F0D">
      <w:pPr>
        <w:pStyle w:val="BodyText2"/>
        <w:spacing w:before="240" w:line="360" w:lineRule="auto"/>
        <w:jc w:val="both"/>
        <w:rPr>
          <w:b w:val="0"/>
        </w:rPr>
      </w:pPr>
      <w:r w:rsidRPr="003850E0">
        <w:rPr>
          <w:b w:val="0"/>
        </w:rPr>
        <w:t xml:space="preserve">To address these gaps, informed judgment is used to refine the forecast. This approach leverages the knowledge and experience of </w:t>
      </w:r>
      <w:r w:rsidR="00890FB2">
        <w:rPr>
          <w:b w:val="0"/>
        </w:rPr>
        <w:t>C</w:t>
      </w:r>
      <w:r w:rsidRPr="003850E0">
        <w:rPr>
          <w:b w:val="0"/>
        </w:rPr>
        <w:t>ompany personnel to supplement and enhance the accuracy of modeling tools.</w:t>
      </w:r>
    </w:p>
    <w:p w14:paraId="3B4FCD66" w14:textId="7A85135F" w:rsidR="00D5588E" w:rsidRPr="00B23AAD" w:rsidRDefault="00D5588E" w:rsidP="00D5588E">
      <w:pPr>
        <w:pStyle w:val="Heading1"/>
        <w:jc w:val="left"/>
      </w:pPr>
      <w:bookmarkStart w:id="238" w:name="_Toc347120378"/>
      <w:bookmarkStart w:id="239" w:name="_Toc188257134"/>
      <w:bookmarkStart w:id="240" w:name="_Toc188257349"/>
      <w:bookmarkStart w:id="241" w:name="_Toc188257573"/>
      <w:bookmarkStart w:id="242" w:name="_Toc189162582"/>
      <w:r w:rsidRPr="00D5588E">
        <w:rPr>
          <w:rFonts w:ascii="Arial" w:hAnsi="Arial" w:cs="Arial"/>
          <w:b/>
          <w:color w:val="auto"/>
        </w:rPr>
        <w:t>3.</w:t>
      </w:r>
      <w:r w:rsidR="00923861">
        <w:rPr>
          <w:rFonts w:ascii="Arial" w:hAnsi="Arial" w:cs="Arial"/>
          <w:b/>
          <w:color w:val="auto"/>
        </w:rPr>
        <w:t>5</w:t>
      </w:r>
      <w:r w:rsidRPr="00D5588E">
        <w:rPr>
          <w:rFonts w:ascii="Arial" w:hAnsi="Arial" w:cs="Arial"/>
          <w:b/>
          <w:color w:val="auto"/>
        </w:rPr>
        <w:tab/>
        <w:t>TOOLS</w:t>
      </w:r>
      <w:bookmarkEnd w:id="238"/>
      <w:bookmarkEnd w:id="239"/>
      <w:bookmarkEnd w:id="240"/>
      <w:bookmarkEnd w:id="241"/>
      <w:bookmarkEnd w:id="242"/>
    </w:p>
    <w:p w14:paraId="7F87A15C" w14:textId="77777777" w:rsidR="00D5588E" w:rsidRDefault="00D5588E" w:rsidP="00DB5A2D">
      <w:pPr>
        <w:pStyle w:val="BodyText2"/>
        <w:spacing w:after="0"/>
        <w:jc w:val="left"/>
        <w:rPr>
          <w:b w:val="0"/>
        </w:rPr>
      </w:pPr>
    </w:p>
    <w:p w14:paraId="1146486D" w14:textId="69EC0FB8" w:rsidR="00D5588E" w:rsidRPr="00D5588E" w:rsidRDefault="00D5588E" w:rsidP="000A189E">
      <w:pPr>
        <w:pStyle w:val="BodyText2"/>
        <w:spacing w:line="360" w:lineRule="auto"/>
        <w:jc w:val="both"/>
        <w:rPr>
          <w:b w:val="0"/>
        </w:rPr>
      </w:pPr>
      <w:bookmarkStart w:id="243" w:name="_Hlk85532613"/>
      <w:r w:rsidRPr="00D5588E">
        <w:rPr>
          <w:b w:val="0"/>
        </w:rPr>
        <w:t xml:space="preserve">The tools used to prepare the energy </w:t>
      </w:r>
      <w:r w:rsidR="008913D6">
        <w:rPr>
          <w:b w:val="0"/>
        </w:rPr>
        <w:t xml:space="preserve">and peak </w:t>
      </w:r>
      <w:r w:rsidRPr="00D5588E">
        <w:rPr>
          <w:b w:val="0"/>
        </w:rPr>
        <w:t>forecast</w:t>
      </w:r>
      <w:r w:rsidR="008913D6">
        <w:rPr>
          <w:b w:val="0"/>
        </w:rPr>
        <w:t>s</w:t>
      </w:r>
      <w:r w:rsidRPr="00D5588E">
        <w:rPr>
          <w:b w:val="0"/>
        </w:rPr>
        <w:t xml:space="preserve"> include EViews (regression software), </w:t>
      </w:r>
      <w:r w:rsidR="00DF1B16">
        <w:rPr>
          <w:b w:val="0"/>
        </w:rPr>
        <w:t>LoadMAP</w:t>
      </w:r>
      <w:r w:rsidRPr="00D5588E">
        <w:rPr>
          <w:b w:val="0"/>
        </w:rPr>
        <w:t xml:space="preserve">, </w:t>
      </w:r>
      <w:r w:rsidR="00117214">
        <w:rPr>
          <w:b w:val="0"/>
        </w:rPr>
        <w:t>MetrixND</w:t>
      </w:r>
      <w:r w:rsidR="00EB41E8">
        <w:rPr>
          <w:b w:val="0"/>
        </w:rPr>
        <w:t>, MetrixLT</w:t>
      </w:r>
      <w:r w:rsidR="00C22CEB">
        <w:rPr>
          <w:b w:val="0"/>
        </w:rPr>
        <w:t>, @Risk</w:t>
      </w:r>
      <w:r w:rsidR="000E62BE">
        <w:rPr>
          <w:b w:val="0"/>
        </w:rPr>
        <w:t>,</w:t>
      </w:r>
      <w:r w:rsidR="00117214" w:rsidRPr="00D5588E">
        <w:rPr>
          <w:b w:val="0"/>
        </w:rPr>
        <w:t xml:space="preserve"> </w:t>
      </w:r>
      <w:r w:rsidRPr="00D5588E">
        <w:rPr>
          <w:b w:val="0"/>
        </w:rPr>
        <w:t>and Microsoft Excel.</w:t>
      </w:r>
      <w:bookmarkEnd w:id="243"/>
      <w:r w:rsidRPr="00D5588E">
        <w:rPr>
          <w:b w:val="0"/>
        </w:rPr>
        <w:t xml:space="preserve"> </w:t>
      </w:r>
    </w:p>
    <w:p w14:paraId="505536C4" w14:textId="77777777" w:rsidR="00D5588E" w:rsidRPr="003A3426" w:rsidRDefault="00D5588E" w:rsidP="00D5588E">
      <w:pPr>
        <w:pStyle w:val="Heading1"/>
        <w:sectPr w:rsidR="00D5588E" w:rsidRPr="003A3426">
          <w:footerReference w:type="default" r:id="rId28"/>
          <w:pgSz w:w="12240" w:h="15840"/>
          <w:pgMar w:top="1440" w:right="1800" w:bottom="1440" w:left="1267" w:header="720" w:footer="720" w:gutter="0"/>
          <w:cols w:space="720"/>
        </w:sectPr>
      </w:pPr>
    </w:p>
    <w:p w14:paraId="7022EDBE" w14:textId="77777777" w:rsidR="00FA78E1" w:rsidRPr="00FA78E1" w:rsidRDefault="00FA78E1" w:rsidP="00FA78E1">
      <w:pPr>
        <w:pStyle w:val="Heading1"/>
        <w:jc w:val="left"/>
        <w:rPr>
          <w:rFonts w:ascii="Arial" w:hAnsi="Arial" w:cs="Arial"/>
          <w:b/>
          <w:color w:val="auto"/>
        </w:rPr>
      </w:pPr>
      <w:bookmarkStart w:id="244" w:name="_Toc347120379"/>
      <w:bookmarkStart w:id="245" w:name="_Toc188257135"/>
      <w:bookmarkStart w:id="246" w:name="_Toc188257350"/>
      <w:bookmarkStart w:id="247" w:name="_Toc188257574"/>
      <w:bookmarkStart w:id="248" w:name="_Toc189162583"/>
      <w:r w:rsidRPr="00FA78E1">
        <w:rPr>
          <w:rFonts w:ascii="Arial" w:hAnsi="Arial" w:cs="Arial"/>
          <w:b/>
          <w:color w:val="auto"/>
        </w:rPr>
        <w:lastRenderedPageBreak/>
        <w:t>4.0</w:t>
      </w:r>
      <w:r w:rsidRPr="00FA78E1">
        <w:rPr>
          <w:rFonts w:ascii="Arial" w:hAnsi="Arial" w:cs="Arial"/>
          <w:b/>
          <w:color w:val="auto"/>
        </w:rPr>
        <w:tab/>
      </w:r>
      <w:bookmarkStart w:id="249" w:name="_Toc112219377"/>
      <w:r w:rsidRPr="00FA78E1">
        <w:rPr>
          <w:rFonts w:ascii="Arial" w:hAnsi="Arial" w:cs="Arial"/>
          <w:b/>
          <w:color w:val="auto"/>
        </w:rPr>
        <w:t>SHORT-TERM MODEL DESIGN OVERVIEW</w:t>
      </w:r>
      <w:bookmarkEnd w:id="244"/>
      <w:bookmarkEnd w:id="245"/>
      <w:bookmarkEnd w:id="246"/>
      <w:bookmarkEnd w:id="247"/>
      <w:bookmarkEnd w:id="249"/>
      <w:bookmarkEnd w:id="248"/>
    </w:p>
    <w:p w14:paraId="07078B7C" w14:textId="77777777" w:rsidR="00FA78E1" w:rsidRDefault="00FA78E1" w:rsidP="00FA78E1">
      <w:pPr>
        <w:pStyle w:val="BodyText"/>
        <w:spacing w:line="360" w:lineRule="auto"/>
        <w:jc w:val="left"/>
        <w:rPr>
          <w:b w:val="0"/>
        </w:rPr>
      </w:pPr>
    </w:p>
    <w:p w14:paraId="477ED875" w14:textId="56328256" w:rsidR="00FA78E1" w:rsidRPr="00FA78E1" w:rsidRDefault="00FA78E1" w:rsidP="00904306">
      <w:pPr>
        <w:pStyle w:val="BodyText"/>
        <w:spacing w:after="0" w:line="360" w:lineRule="auto"/>
        <w:jc w:val="both"/>
        <w:rPr>
          <w:b w:val="0"/>
        </w:rPr>
      </w:pPr>
      <w:r w:rsidRPr="00FA78E1">
        <w:rPr>
          <w:b w:val="0"/>
        </w:rPr>
        <w:t>This section describes the quantitative methods used to develop Georgia Power</w:t>
      </w:r>
      <w:r w:rsidR="00B30749">
        <w:rPr>
          <w:b w:val="0"/>
        </w:rPr>
        <w:t>’s</w:t>
      </w:r>
      <w:r w:rsidRPr="00FA78E1">
        <w:rPr>
          <w:b w:val="0"/>
        </w:rPr>
        <w:t xml:space="preserve"> customer and short-term energy sales forecasts. The forecasts from the short-term energy models cover the period from </w:t>
      </w:r>
      <w:r w:rsidR="00923861">
        <w:rPr>
          <w:b w:val="0"/>
        </w:rPr>
        <w:t>May</w:t>
      </w:r>
      <w:r w:rsidR="00923861" w:rsidRPr="00FA78E1">
        <w:rPr>
          <w:b w:val="0"/>
        </w:rPr>
        <w:t xml:space="preserve"> </w:t>
      </w:r>
      <w:r w:rsidR="001C2840" w:rsidRPr="00FA78E1">
        <w:rPr>
          <w:b w:val="0"/>
        </w:rPr>
        <w:t>20</w:t>
      </w:r>
      <w:r w:rsidR="001C2840">
        <w:rPr>
          <w:b w:val="0"/>
        </w:rPr>
        <w:t>24</w:t>
      </w:r>
      <w:r w:rsidR="001C2840" w:rsidRPr="00FA78E1">
        <w:rPr>
          <w:b w:val="0"/>
        </w:rPr>
        <w:t xml:space="preserve"> </w:t>
      </w:r>
      <w:r w:rsidRPr="00FA78E1">
        <w:rPr>
          <w:b w:val="0"/>
        </w:rPr>
        <w:t xml:space="preserve">through December </w:t>
      </w:r>
      <w:r w:rsidR="00923861" w:rsidRPr="00FA78E1">
        <w:rPr>
          <w:b w:val="0"/>
        </w:rPr>
        <w:t>20</w:t>
      </w:r>
      <w:r w:rsidR="00923861">
        <w:rPr>
          <w:b w:val="0"/>
        </w:rPr>
        <w:t>29</w:t>
      </w:r>
      <w:r w:rsidRPr="00FA78E1">
        <w:rPr>
          <w:b w:val="0"/>
        </w:rPr>
        <w:t xml:space="preserve">. These short-term energy forecasts are then integrated with the long-term results discussed in Section 5. </w:t>
      </w:r>
      <w:r w:rsidR="0036595D">
        <w:rPr>
          <w:b w:val="0"/>
        </w:rPr>
        <w:t>The residential and</w:t>
      </w:r>
      <w:r w:rsidR="007F11D3">
        <w:rPr>
          <w:b w:val="0"/>
        </w:rPr>
        <w:t xml:space="preserve"> commercial</w:t>
      </w:r>
      <w:r w:rsidR="0036595D">
        <w:rPr>
          <w:b w:val="0"/>
        </w:rPr>
        <w:t xml:space="preserve"> </w:t>
      </w:r>
      <w:r w:rsidRPr="00FA78E1">
        <w:rPr>
          <w:b w:val="0"/>
        </w:rPr>
        <w:t xml:space="preserve">short-term </w:t>
      </w:r>
      <w:r w:rsidR="00AC16B5">
        <w:rPr>
          <w:b w:val="0"/>
        </w:rPr>
        <w:t xml:space="preserve">energy </w:t>
      </w:r>
      <w:r w:rsidRPr="00FA78E1">
        <w:rPr>
          <w:b w:val="0"/>
        </w:rPr>
        <w:t xml:space="preserve">models generate results on a </w:t>
      </w:r>
      <w:r w:rsidR="00856675">
        <w:rPr>
          <w:b w:val="0"/>
        </w:rPr>
        <w:t xml:space="preserve">billing </w:t>
      </w:r>
      <w:r w:rsidR="00AB3FDC">
        <w:rPr>
          <w:b w:val="0"/>
        </w:rPr>
        <w:t xml:space="preserve">month basis, which are then converted to </w:t>
      </w:r>
      <w:r w:rsidR="00856675">
        <w:rPr>
          <w:b w:val="0"/>
        </w:rPr>
        <w:t xml:space="preserve">a </w:t>
      </w:r>
      <w:r w:rsidRPr="00FA78E1">
        <w:rPr>
          <w:b w:val="0"/>
        </w:rPr>
        <w:t xml:space="preserve">calendar </w:t>
      </w:r>
      <w:r w:rsidR="00AB3FDC">
        <w:rPr>
          <w:b w:val="0"/>
        </w:rPr>
        <w:t xml:space="preserve">month </w:t>
      </w:r>
      <w:r w:rsidRPr="00FA78E1">
        <w:rPr>
          <w:b w:val="0"/>
        </w:rPr>
        <w:t xml:space="preserve">basis. </w:t>
      </w:r>
      <w:r w:rsidR="004B7114">
        <w:rPr>
          <w:b w:val="0"/>
        </w:rPr>
        <w:t>Industrial sales are modeled on a calendar month basis</w:t>
      </w:r>
      <w:r w:rsidR="00A85314">
        <w:rPr>
          <w:b w:val="0"/>
        </w:rPr>
        <w:t xml:space="preserve">. </w:t>
      </w:r>
      <w:r w:rsidR="0036595D">
        <w:rPr>
          <w:b w:val="0"/>
        </w:rPr>
        <w:t xml:space="preserve">The MARTA </w:t>
      </w:r>
      <w:r w:rsidR="00452E01">
        <w:rPr>
          <w:b w:val="0"/>
        </w:rPr>
        <w:t xml:space="preserve">and governmental lighting </w:t>
      </w:r>
      <w:r w:rsidR="0036595D">
        <w:rPr>
          <w:b w:val="0"/>
        </w:rPr>
        <w:t>energy forecast</w:t>
      </w:r>
      <w:r w:rsidR="00452E01">
        <w:rPr>
          <w:b w:val="0"/>
        </w:rPr>
        <w:t xml:space="preserve">s are </w:t>
      </w:r>
      <w:r w:rsidR="00FE7506">
        <w:rPr>
          <w:b w:val="0"/>
        </w:rPr>
        <w:t>produced</w:t>
      </w:r>
      <w:r w:rsidR="00017BF4">
        <w:rPr>
          <w:b w:val="0"/>
        </w:rPr>
        <w:t xml:space="preserve"> on a billing month basis</w:t>
      </w:r>
      <w:r w:rsidR="00FE7506">
        <w:rPr>
          <w:b w:val="0"/>
        </w:rPr>
        <w:t>.</w:t>
      </w:r>
      <w:r w:rsidR="00616255">
        <w:rPr>
          <w:b w:val="0"/>
        </w:rPr>
        <w:t xml:space="preserve"> </w:t>
      </w:r>
    </w:p>
    <w:p w14:paraId="6842D41F" w14:textId="77777777" w:rsidR="00FA78E1" w:rsidRPr="00FA78E1" w:rsidRDefault="00FA78E1" w:rsidP="00904306">
      <w:pPr>
        <w:pStyle w:val="BodyText"/>
        <w:spacing w:after="0" w:line="360" w:lineRule="auto"/>
        <w:jc w:val="both"/>
        <w:rPr>
          <w:b w:val="0"/>
        </w:rPr>
      </w:pPr>
    </w:p>
    <w:p w14:paraId="66D09E5F" w14:textId="737925DD" w:rsidR="00FA78E1" w:rsidRPr="00FA78E1" w:rsidRDefault="00FA78E1" w:rsidP="0019333C">
      <w:pPr>
        <w:pStyle w:val="BodyText"/>
        <w:spacing w:after="0" w:line="360" w:lineRule="auto"/>
        <w:jc w:val="both"/>
        <w:rPr>
          <w:b w:val="0"/>
        </w:rPr>
      </w:pPr>
      <w:r w:rsidRPr="00FA78E1">
        <w:rPr>
          <w:b w:val="0"/>
        </w:rPr>
        <w:t>The estimate</w:t>
      </w:r>
      <w:r w:rsidR="00B30749">
        <w:rPr>
          <w:b w:val="0"/>
        </w:rPr>
        <w:t>s</w:t>
      </w:r>
      <w:r w:rsidRPr="00FA78E1">
        <w:rPr>
          <w:b w:val="0"/>
        </w:rPr>
        <w:t xml:space="preserve"> of the number of customers </w:t>
      </w:r>
      <w:r w:rsidR="00AC16B5">
        <w:rPr>
          <w:b w:val="0"/>
        </w:rPr>
        <w:t xml:space="preserve">by class </w:t>
      </w:r>
      <w:r w:rsidR="00B30749">
        <w:rPr>
          <w:b w:val="0"/>
        </w:rPr>
        <w:t>are</w:t>
      </w:r>
      <w:r w:rsidR="00B30749" w:rsidRPr="00FA78E1">
        <w:rPr>
          <w:b w:val="0"/>
        </w:rPr>
        <w:t xml:space="preserve"> </w:t>
      </w:r>
      <w:r w:rsidRPr="00FA78E1">
        <w:rPr>
          <w:b w:val="0"/>
        </w:rPr>
        <w:t>derived from econometric models that have a twenty-year forecast horizon. The short-term energy forecasts</w:t>
      </w:r>
      <w:r w:rsidR="00AC16B5">
        <w:rPr>
          <w:b w:val="0"/>
        </w:rPr>
        <w:t xml:space="preserve"> are</w:t>
      </w:r>
      <w:r w:rsidRPr="00FA78E1">
        <w:rPr>
          <w:b w:val="0"/>
        </w:rPr>
        <w:t xml:space="preserve"> </w:t>
      </w:r>
      <w:r w:rsidR="00AC16B5">
        <w:rPr>
          <w:b w:val="0"/>
        </w:rPr>
        <w:t xml:space="preserve">also </w:t>
      </w:r>
      <w:r w:rsidRPr="00FA78E1">
        <w:rPr>
          <w:b w:val="0"/>
        </w:rPr>
        <w:t>developed on a customer class basis</w:t>
      </w:r>
      <w:r w:rsidR="00AC16B5">
        <w:rPr>
          <w:b w:val="0"/>
        </w:rPr>
        <w:t xml:space="preserve"> </w:t>
      </w:r>
      <w:r w:rsidRPr="00FA78E1">
        <w:rPr>
          <w:b w:val="0"/>
        </w:rPr>
        <w:t>employ</w:t>
      </w:r>
      <w:r w:rsidR="000E4469">
        <w:rPr>
          <w:b w:val="0"/>
        </w:rPr>
        <w:t>ing</w:t>
      </w:r>
      <w:r w:rsidRPr="00FA78E1">
        <w:rPr>
          <w:b w:val="0"/>
        </w:rPr>
        <w:t xml:space="preserve"> </w:t>
      </w:r>
      <w:r w:rsidR="00FE7506">
        <w:rPr>
          <w:b w:val="0"/>
        </w:rPr>
        <w:t xml:space="preserve">a linear </w:t>
      </w:r>
      <w:r w:rsidRPr="00FA78E1">
        <w:rPr>
          <w:b w:val="0"/>
        </w:rPr>
        <w:t xml:space="preserve">regression methodology. Although </w:t>
      </w:r>
      <w:r w:rsidR="00AC16B5">
        <w:rPr>
          <w:b w:val="0"/>
        </w:rPr>
        <w:t xml:space="preserve">the </w:t>
      </w:r>
      <w:r w:rsidR="00FE7506">
        <w:rPr>
          <w:b w:val="0"/>
        </w:rPr>
        <w:t>drivers</w:t>
      </w:r>
      <w:r w:rsidR="00FE7506" w:rsidRPr="00FA78E1">
        <w:rPr>
          <w:b w:val="0"/>
        </w:rPr>
        <w:t xml:space="preserve"> </w:t>
      </w:r>
      <w:r w:rsidRPr="00FA78E1">
        <w:rPr>
          <w:b w:val="0"/>
        </w:rPr>
        <w:t xml:space="preserve">vary by customer class, the models include explanatory variables that relate changes in monthly sales or customers to </w:t>
      </w:r>
      <w:r w:rsidR="000E4469">
        <w:rPr>
          <w:b w:val="0"/>
        </w:rPr>
        <w:t>economic drivers</w:t>
      </w:r>
      <w:r w:rsidRPr="00FA78E1">
        <w:rPr>
          <w:b w:val="0"/>
        </w:rPr>
        <w:t xml:space="preserve">, </w:t>
      </w:r>
      <w:r w:rsidR="007F11D3">
        <w:rPr>
          <w:b w:val="0"/>
        </w:rPr>
        <w:t xml:space="preserve">energy efficiency, </w:t>
      </w:r>
      <w:r w:rsidRPr="00FA78E1">
        <w:rPr>
          <w:b w:val="0"/>
        </w:rPr>
        <w:t xml:space="preserve">monthly </w:t>
      </w:r>
      <w:r w:rsidR="7348A7AA">
        <w:rPr>
          <w:b w:val="0"/>
        </w:rPr>
        <w:t>binaries</w:t>
      </w:r>
      <w:r w:rsidR="63AE4879">
        <w:rPr>
          <w:b w:val="0"/>
        </w:rPr>
        <w:t>,</w:t>
      </w:r>
      <w:r>
        <w:rPr>
          <w:b w:val="0"/>
        </w:rPr>
        <w:t xml:space="preserve"> </w:t>
      </w:r>
      <w:r w:rsidRPr="00FA78E1">
        <w:rPr>
          <w:b w:val="0"/>
        </w:rPr>
        <w:t xml:space="preserve">and </w:t>
      </w:r>
      <w:r w:rsidR="00595BC1">
        <w:rPr>
          <w:b w:val="0"/>
        </w:rPr>
        <w:t xml:space="preserve">monthly weather interaction </w:t>
      </w:r>
      <w:r w:rsidRPr="00FA78E1">
        <w:rPr>
          <w:b w:val="0"/>
        </w:rPr>
        <w:t>binary variables.</w:t>
      </w:r>
      <w:r w:rsidR="00573D86">
        <w:rPr>
          <w:b w:val="0"/>
        </w:rPr>
        <w:t xml:space="preserve"> </w:t>
      </w:r>
      <w:bookmarkStart w:id="250" w:name="_Hlk90616508"/>
      <w:r w:rsidR="00573D86">
        <w:rPr>
          <w:b w:val="0"/>
        </w:rPr>
        <w:t>Autoregressive variables are included in the models whe</w:t>
      </w:r>
      <w:r w:rsidR="00C073D1">
        <w:rPr>
          <w:b w:val="0"/>
        </w:rPr>
        <w:t>re</w:t>
      </w:r>
      <w:r w:rsidR="00573D86">
        <w:rPr>
          <w:b w:val="0"/>
        </w:rPr>
        <w:t xml:space="preserve"> it is determined that serial correlation is an issue.</w:t>
      </w:r>
      <w:bookmarkEnd w:id="250"/>
    </w:p>
    <w:p w14:paraId="359C24FE" w14:textId="77777777" w:rsidR="00FA78E1" w:rsidRPr="00FA78E1" w:rsidRDefault="00FA78E1" w:rsidP="008B1036">
      <w:pPr>
        <w:pStyle w:val="BodyText"/>
        <w:spacing w:after="0" w:line="360" w:lineRule="auto"/>
        <w:jc w:val="both"/>
        <w:rPr>
          <w:b w:val="0"/>
        </w:rPr>
      </w:pPr>
    </w:p>
    <w:p w14:paraId="4243E71C" w14:textId="37296FAC" w:rsidR="00A32ED3" w:rsidRDefault="00FA78E1" w:rsidP="00665881">
      <w:pPr>
        <w:pStyle w:val="BodyText"/>
        <w:spacing w:line="360" w:lineRule="auto"/>
        <w:jc w:val="both"/>
        <w:rPr>
          <w:b w:val="0"/>
        </w:rPr>
      </w:pPr>
      <w:r w:rsidRPr="00FA78E1">
        <w:rPr>
          <w:b w:val="0"/>
        </w:rPr>
        <w:t xml:space="preserve">The </w:t>
      </w:r>
      <w:r w:rsidR="007F11D3">
        <w:rPr>
          <w:b w:val="0"/>
        </w:rPr>
        <w:t xml:space="preserve">short-term </w:t>
      </w:r>
      <w:r w:rsidRPr="00FA78E1">
        <w:rPr>
          <w:b w:val="0"/>
        </w:rPr>
        <w:t xml:space="preserve">model parameters </w:t>
      </w:r>
      <w:r w:rsidR="001A25C7">
        <w:rPr>
          <w:b w:val="0"/>
        </w:rPr>
        <w:t>a</w:t>
      </w:r>
      <w:r w:rsidRPr="00FA78E1">
        <w:rPr>
          <w:b w:val="0"/>
        </w:rPr>
        <w:t xml:space="preserve">re estimated with the EViews software package. EViews is a well-established software package used in econometric analysis, forecasting, and simulation. </w:t>
      </w:r>
      <w:r w:rsidR="00923861">
        <w:rPr>
          <w:b w:val="0"/>
        </w:rPr>
        <w:t>S&amp;P Global</w:t>
      </w:r>
      <w:r w:rsidRPr="00FA78E1">
        <w:rPr>
          <w:b w:val="0"/>
        </w:rPr>
        <w:t xml:space="preserve"> provide</w:t>
      </w:r>
      <w:r w:rsidR="001A25C7">
        <w:rPr>
          <w:b w:val="0"/>
        </w:rPr>
        <w:t>s</w:t>
      </w:r>
      <w:r w:rsidRPr="00FA78E1">
        <w:rPr>
          <w:b w:val="0"/>
        </w:rPr>
        <w:t xml:space="preserve"> the historical and forecast</w:t>
      </w:r>
      <w:r w:rsidR="00B30749">
        <w:rPr>
          <w:b w:val="0"/>
        </w:rPr>
        <w:t>ed</w:t>
      </w:r>
      <w:r w:rsidRPr="00FA78E1">
        <w:rPr>
          <w:b w:val="0"/>
        </w:rPr>
        <w:t xml:space="preserve"> </w:t>
      </w:r>
      <w:r w:rsidR="00A54E44">
        <w:rPr>
          <w:b w:val="0"/>
        </w:rPr>
        <w:t xml:space="preserve">economic </w:t>
      </w:r>
      <w:r w:rsidRPr="00FA78E1">
        <w:rPr>
          <w:b w:val="0"/>
        </w:rPr>
        <w:t xml:space="preserve">data used in the short-term models. </w:t>
      </w:r>
      <w:r w:rsidR="00F961D5">
        <w:rPr>
          <w:b w:val="0"/>
        </w:rPr>
        <w:t>When estimating the model parameters, actual HDH and CDH are used. For the forecast</w:t>
      </w:r>
      <w:r w:rsidR="00EA4CCA">
        <w:rPr>
          <w:b w:val="0"/>
        </w:rPr>
        <w:t xml:space="preserve"> period</w:t>
      </w:r>
      <w:r w:rsidR="00F961D5">
        <w:rPr>
          <w:b w:val="0"/>
        </w:rPr>
        <w:t xml:space="preserve">, “normal” weather is assumed. </w:t>
      </w:r>
      <w:r w:rsidR="00F961D5" w:rsidRPr="00B230D8">
        <w:rPr>
          <w:b w:val="0"/>
        </w:rPr>
        <w:t xml:space="preserve">“Normal” weather </w:t>
      </w:r>
      <w:r w:rsidR="00F961D5">
        <w:rPr>
          <w:b w:val="0"/>
        </w:rPr>
        <w:t xml:space="preserve">for Budget </w:t>
      </w:r>
      <w:r w:rsidR="00923861">
        <w:rPr>
          <w:b w:val="0"/>
        </w:rPr>
        <w:t xml:space="preserve">2025 </w:t>
      </w:r>
      <w:r w:rsidR="00F961D5" w:rsidRPr="00B230D8">
        <w:rPr>
          <w:b w:val="0"/>
        </w:rPr>
        <w:t xml:space="preserve">is defined as the average of CDH and HDH </w:t>
      </w:r>
      <w:r w:rsidR="00B03BA7">
        <w:rPr>
          <w:b w:val="0"/>
        </w:rPr>
        <w:t xml:space="preserve">from </w:t>
      </w:r>
      <w:r w:rsidR="00F961D5" w:rsidRPr="00B230D8">
        <w:rPr>
          <w:b w:val="0"/>
        </w:rPr>
        <w:t>1980-</w:t>
      </w:r>
      <w:r w:rsidR="00923861" w:rsidRPr="00B230D8">
        <w:rPr>
          <w:b w:val="0"/>
        </w:rPr>
        <w:t>20</w:t>
      </w:r>
      <w:r w:rsidR="00923861">
        <w:rPr>
          <w:b w:val="0"/>
        </w:rPr>
        <w:t>23</w:t>
      </w:r>
      <w:r w:rsidR="00F961D5">
        <w:rPr>
          <w:b w:val="0"/>
        </w:rPr>
        <w:t>.</w:t>
      </w:r>
      <w:r w:rsidR="00F961D5" w:rsidRPr="00F961D5">
        <w:rPr>
          <w:b w:val="0"/>
        </w:rPr>
        <w:t xml:space="preserve"> </w:t>
      </w:r>
    </w:p>
    <w:p w14:paraId="2C52292B" w14:textId="77777777" w:rsidR="00FA78E1" w:rsidRPr="00FA78E1" w:rsidRDefault="00FA78E1" w:rsidP="00FA78E1">
      <w:pPr>
        <w:pStyle w:val="Heading1"/>
        <w:jc w:val="left"/>
        <w:rPr>
          <w:rFonts w:ascii="Arial" w:hAnsi="Arial" w:cs="Arial"/>
          <w:b/>
          <w:color w:val="auto"/>
        </w:rPr>
      </w:pPr>
      <w:bookmarkStart w:id="251" w:name="_Toc497031881"/>
      <w:bookmarkStart w:id="252" w:name="_Toc503665751"/>
      <w:bookmarkStart w:id="253" w:name="_Toc112219378"/>
      <w:bookmarkStart w:id="254" w:name="_Toc347120380"/>
      <w:bookmarkStart w:id="255" w:name="_Toc188257136"/>
      <w:bookmarkStart w:id="256" w:name="_Toc188257351"/>
      <w:bookmarkStart w:id="257" w:name="_Toc188257575"/>
      <w:bookmarkStart w:id="258" w:name="_Toc189162584"/>
      <w:r w:rsidRPr="00FA78E1">
        <w:rPr>
          <w:rFonts w:ascii="Arial" w:hAnsi="Arial" w:cs="Arial"/>
          <w:b/>
          <w:color w:val="auto"/>
        </w:rPr>
        <w:t>4.1</w:t>
      </w:r>
      <w:r w:rsidRPr="00FA78E1">
        <w:rPr>
          <w:rFonts w:ascii="Arial" w:hAnsi="Arial" w:cs="Arial"/>
          <w:b/>
          <w:color w:val="auto"/>
        </w:rPr>
        <w:tab/>
      </w:r>
      <w:bookmarkStart w:id="259" w:name="_Toc468764769"/>
      <w:r w:rsidRPr="00FA78E1">
        <w:rPr>
          <w:rFonts w:ascii="Arial" w:hAnsi="Arial" w:cs="Arial"/>
          <w:b/>
          <w:color w:val="auto"/>
        </w:rPr>
        <w:t>RETAIL SALES SECTORS</w:t>
      </w:r>
      <w:bookmarkEnd w:id="251"/>
      <w:bookmarkEnd w:id="252"/>
      <w:bookmarkEnd w:id="253"/>
      <w:bookmarkEnd w:id="254"/>
      <w:bookmarkEnd w:id="255"/>
      <w:bookmarkEnd w:id="256"/>
      <w:bookmarkEnd w:id="257"/>
      <w:bookmarkEnd w:id="259"/>
      <w:bookmarkEnd w:id="258"/>
    </w:p>
    <w:p w14:paraId="67022572" w14:textId="77777777" w:rsidR="00FA78E1" w:rsidRDefault="00FA78E1" w:rsidP="00FA78E1">
      <w:pPr>
        <w:pStyle w:val="BodyText2"/>
        <w:jc w:val="left"/>
        <w:rPr>
          <w:b w:val="0"/>
        </w:rPr>
      </w:pPr>
      <w:bookmarkStart w:id="260" w:name="_Toc468764770"/>
      <w:bookmarkStart w:id="261" w:name="_Toc503665752"/>
      <w:bookmarkStart w:id="262" w:name="_Toc112219379"/>
    </w:p>
    <w:p w14:paraId="5863638C" w14:textId="64BB62EC" w:rsidR="00FA78E1" w:rsidRPr="00FA78E1" w:rsidRDefault="00FA78E1" w:rsidP="00904306">
      <w:pPr>
        <w:pStyle w:val="BodyText2"/>
        <w:spacing w:line="240" w:lineRule="auto"/>
        <w:jc w:val="both"/>
        <w:rPr>
          <w:b w:val="0"/>
        </w:rPr>
      </w:pPr>
      <w:r w:rsidRPr="00FA78E1">
        <w:rPr>
          <w:b w:val="0"/>
        </w:rPr>
        <w:t xml:space="preserve">The retail sector includes the residential, commercial, industrial, MARTA, and </w:t>
      </w:r>
      <w:r w:rsidR="002A580E">
        <w:rPr>
          <w:b w:val="0"/>
        </w:rPr>
        <w:t xml:space="preserve">regulated </w:t>
      </w:r>
      <w:r w:rsidRPr="00FA78E1">
        <w:rPr>
          <w:b w:val="0"/>
        </w:rPr>
        <w:t xml:space="preserve">governmental lighting classes. </w:t>
      </w:r>
    </w:p>
    <w:p w14:paraId="77EEE997" w14:textId="77777777" w:rsidR="00FA78E1" w:rsidRPr="00FA78E1" w:rsidRDefault="00FA78E1" w:rsidP="00377F8E">
      <w:pPr>
        <w:pStyle w:val="BodyText2"/>
        <w:spacing w:after="0" w:line="240" w:lineRule="auto"/>
        <w:jc w:val="left"/>
        <w:rPr>
          <w:b w:val="0"/>
        </w:rPr>
      </w:pPr>
    </w:p>
    <w:p w14:paraId="2384501A" w14:textId="77777777" w:rsidR="00FA78E1" w:rsidRPr="00FA78E1" w:rsidRDefault="00FA78E1" w:rsidP="00FA78E1">
      <w:pPr>
        <w:pStyle w:val="Heading2"/>
        <w:jc w:val="left"/>
        <w:rPr>
          <w:rFonts w:ascii="Arial" w:hAnsi="Arial" w:cs="Arial"/>
          <w:b/>
          <w:color w:val="auto"/>
          <w:sz w:val="20"/>
          <w:szCs w:val="20"/>
        </w:rPr>
      </w:pPr>
      <w:bookmarkStart w:id="263" w:name="_Toc347120381"/>
      <w:bookmarkStart w:id="264" w:name="_Toc188257137"/>
      <w:bookmarkStart w:id="265" w:name="_Toc188257352"/>
      <w:bookmarkStart w:id="266" w:name="_Toc188257576"/>
      <w:bookmarkStart w:id="267" w:name="_Toc189162585"/>
      <w:r w:rsidRPr="00FA78E1">
        <w:rPr>
          <w:rFonts w:ascii="Arial" w:hAnsi="Arial" w:cs="Arial"/>
          <w:b/>
          <w:color w:val="auto"/>
          <w:sz w:val="20"/>
          <w:szCs w:val="20"/>
        </w:rPr>
        <w:t>4.1.1</w:t>
      </w:r>
      <w:r w:rsidRPr="00FA78E1">
        <w:rPr>
          <w:rFonts w:ascii="Arial" w:hAnsi="Arial" w:cs="Arial"/>
          <w:b/>
          <w:color w:val="auto"/>
          <w:sz w:val="20"/>
          <w:szCs w:val="20"/>
        </w:rPr>
        <w:tab/>
        <w:t>Residential Sales</w:t>
      </w:r>
      <w:bookmarkEnd w:id="260"/>
      <w:bookmarkEnd w:id="261"/>
      <w:bookmarkEnd w:id="262"/>
      <w:bookmarkEnd w:id="263"/>
      <w:bookmarkEnd w:id="264"/>
      <w:bookmarkEnd w:id="265"/>
      <w:bookmarkEnd w:id="266"/>
      <w:bookmarkEnd w:id="267"/>
    </w:p>
    <w:p w14:paraId="2601ADDE" w14:textId="77777777" w:rsidR="00FA78E1" w:rsidRDefault="00FA78E1" w:rsidP="00FA78E1">
      <w:pPr>
        <w:pStyle w:val="BodyText"/>
        <w:jc w:val="left"/>
        <w:rPr>
          <w:b w:val="0"/>
        </w:rPr>
      </w:pPr>
    </w:p>
    <w:p w14:paraId="2977EEDF" w14:textId="11CF5E12" w:rsidR="00FA78E1" w:rsidRPr="00FA78E1" w:rsidRDefault="00FA78E1" w:rsidP="00FA78E1">
      <w:pPr>
        <w:pStyle w:val="BodyText"/>
        <w:spacing w:line="360" w:lineRule="auto"/>
        <w:jc w:val="left"/>
        <w:rPr>
          <w:b w:val="0"/>
        </w:rPr>
      </w:pPr>
      <w:r w:rsidRPr="00FA78E1">
        <w:rPr>
          <w:b w:val="0"/>
        </w:rPr>
        <w:t xml:space="preserve">The model of energy sales </w:t>
      </w:r>
      <w:r w:rsidR="003F56D0">
        <w:rPr>
          <w:b w:val="0"/>
        </w:rPr>
        <w:t>for</w:t>
      </w:r>
      <w:r w:rsidR="003F56D0" w:rsidRPr="00FA78E1">
        <w:rPr>
          <w:b w:val="0"/>
        </w:rPr>
        <w:t xml:space="preserve"> </w:t>
      </w:r>
      <w:r w:rsidRPr="00FA78E1">
        <w:rPr>
          <w:b w:val="0"/>
        </w:rPr>
        <w:t>the residential class depends on the following factors:</w:t>
      </w:r>
    </w:p>
    <w:p w14:paraId="0DB56DF5" w14:textId="77777777" w:rsidR="004E7FF1" w:rsidRDefault="004E7FF1" w:rsidP="00BC7C3C">
      <w:pPr>
        <w:pStyle w:val="ListBullet4"/>
      </w:pPr>
      <w:r w:rsidRPr="00FA78E1">
        <w:t>Numb</w:t>
      </w:r>
      <w:r>
        <w:t>er of days in the billing cycle</w:t>
      </w:r>
      <w:r w:rsidRPr="00FA78E1">
        <w:t xml:space="preserve"> </w:t>
      </w:r>
    </w:p>
    <w:p w14:paraId="7913B6F4" w14:textId="0CBEC5C2" w:rsidR="00FA78E1" w:rsidRPr="00FA78E1" w:rsidRDefault="00FA78E1" w:rsidP="00BC7C3C">
      <w:pPr>
        <w:pStyle w:val="ListBullet4"/>
      </w:pPr>
      <w:r w:rsidRPr="00FA78E1">
        <w:t>Number of customers</w:t>
      </w:r>
    </w:p>
    <w:p w14:paraId="045E9599" w14:textId="5006290F" w:rsidR="00FA78E1" w:rsidRDefault="00FA78E1">
      <w:pPr>
        <w:pStyle w:val="ListBullet4"/>
      </w:pPr>
      <w:r w:rsidRPr="00FA78E1">
        <w:t>Weather</w:t>
      </w:r>
    </w:p>
    <w:p w14:paraId="176212D2" w14:textId="139425F1" w:rsidR="00751D12" w:rsidRDefault="00751D12" w:rsidP="00BC7C3C">
      <w:pPr>
        <w:pStyle w:val="ListBullet4"/>
      </w:pPr>
      <w:r>
        <w:t>Energy efficiency</w:t>
      </w:r>
    </w:p>
    <w:p w14:paraId="65782F44" w14:textId="5837E700" w:rsidR="009950CE" w:rsidRDefault="000E4469" w:rsidP="00BC7C3C">
      <w:pPr>
        <w:pStyle w:val="ListBullet4"/>
      </w:pPr>
      <w:r>
        <w:t>P</w:t>
      </w:r>
      <w:r w:rsidR="009950CE">
        <w:t>rice of electricity</w:t>
      </w:r>
    </w:p>
    <w:p w14:paraId="1DD71219" w14:textId="77777777" w:rsidR="00FA78E1" w:rsidRPr="00FA78E1" w:rsidRDefault="00FA78E1" w:rsidP="00FA78E1">
      <w:pPr>
        <w:spacing w:line="360" w:lineRule="auto"/>
        <w:jc w:val="left"/>
        <w:rPr>
          <w:b w:val="0"/>
        </w:rPr>
      </w:pPr>
    </w:p>
    <w:p w14:paraId="07D52D1B" w14:textId="3C54EFF9" w:rsidR="00FA78E1" w:rsidRPr="00FA78E1" w:rsidRDefault="00BC3C20" w:rsidP="008B1036">
      <w:pPr>
        <w:pStyle w:val="BodyText"/>
        <w:spacing w:after="0" w:line="360" w:lineRule="auto"/>
        <w:jc w:val="both"/>
        <w:rPr>
          <w:b w:val="0"/>
        </w:rPr>
      </w:pPr>
      <w:r w:rsidRPr="00FA78E1">
        <w:rPr>
          <w:b w:val="0"/>
        </w:rPr>
        <w:t>A regression model relating residential energy use</w:t>
      </w:r>
      <w:r>
        <w:rPr>
          <w:b w:val="0"/>
        </w:rPr>
        <w:t xml:space="preserve"> </w:t>
      </w:r>
      <w:r w:rsidRPr="00FA78E1">
        <w:rPr>
          <w:b w:val="0"/>
        </w:rPr>
        <w:t>per</w:t>
      </w:r>
      <w:r>
        <w:rPr>
          <w:b w:val="0"/>
        </w:rPr>
        <w:t xml:space="preserve"> </w:t>
      </w:r>
      <w:r w:rsidRPr="00FA78E1">
        <w:rPr>
          <w:b w:val="0"/>
        </w:rPr>
        <w:t>customer</w:t>
      </w:r>
      <w:r>
        <w:rPr>
          <w:b w:val="0"/>
        </w:rPr>
        <w:t xml:space="preserve"> per billing day </w:t>
      </w:r>
      <w:r w:rsidRPr="00FA78E1">
        <w:rPr>
          <w:b w:val="0"/>
        </w:rPr>
        <w:t xml:space="preserve">to an intercept, </w:t>
      </w:r>
      <w:r>
        <w:rPr>
          <w:b w:val="0"/>
        </w:rPr>
        <w:t>twelve</w:t>
      </w:r>
      <w:r w:rsidRPr="00FA78E1">
        <w:rPr>
          <w:b w:val="0"/>
        </w:rPr>
        <w:t xml:space="preserve"> monthly weather </w:t>
      </w:r>
      <w:r>
        <w:rPr>
          <w:b w:val="0"/>
        </w:rPr>
        <w:t xml:space="preserve">interaction </w:t>
      </w:r>
      <w:r w:rsidRPr="00FA78E1">
        <w:rPr>
          <w:b w:val="0"/>
        </w:rPr>
        <w:t>variables</w:t>
      </w:r>
      <w:r>
        <w:rPr>
          <w:b w:val="0"/>
        </w:rPr>
        <w:t xml:space="preserve"> that are divided by the number of billing days</w:t>
      </w:r>
      <w:r w:rsidRPr="00FA78E1">
        <w:rPr>
          <w:b w:val="0"/>
        </w:rPr>
        <w:t xml:space="preserve">, </w:t>
      </w:r>
      <w:r>
        <w:rPr>
          <w:b w:val="0"/>
        </w:rPr>
        <w:t xml:space="preserve">an energy efficiency </w:t>
      </w:r>
      <w:r w:rsidRPr="00FA78E1">
        <w:rPr>
          <w:b w:val="0"/>
        </w:rPr>
        <w:t>variable</w:t>
      </w:r>
      <w:r>
        <w:rPr>
          <w:b w:val="0"/>
        </w:rPr>
        <w:t xml:space="preserve"> </w:t>
      </w:r>
      <w:r w:rsidRPr="00FA78E1">
        <w:rPr>
          <w:b w:val="0"/>
        </w:rPr>
        <w:t>developed for the short-term residential energy forecast</w:t>
      </w:r>
      <w:r>
        <w:rPr>
          <w:b w:val="0"/>
        </w:rPr>
        <w:t xml:space="preserve">, and a real </w:t>
      </w:r>
      <w:r w:rsidR="000A4B94">
        <w:rPr>
          <w:b w:val="0"/>
        </w:rPr>
        <w:t xml:space="preserve">electric </w:t>
      </w:r>
      <w:r>
        <w:rPr>
          <w:b w:val="0"/>
        </w:rPr>
        <w:t>price variable</w:t>
      </w:r>
      <w:r w:rsidR="008D35EC">
        <w:rPr>
          <w:b w:val="0"/>
        </w:rPr>
        <w:t xml:space="preserve"> </w:t>
      </w:r>
      <w:r w:rsidR="000A4B94">
        <w:rPr>
          <w:b w:val="0"/>
        </w:rPr>
        <w:t xml:space="preserve">was created. </w:t>
      </w:r>
      <w:r w:rsidR="008D35EC" w:rsidRPr="0045137E">
        <w:rPr>
          <w:b w:val="0"/>
          <w:bCs/>
        </w:rPr>
        <w:t>Table 4.1.1-1 contains a summary of the parameter estimates and statistics for the short-term residential model.</w:t>
      </w:r>
      <w:r w:rsidR="008D35EC">
        <w:t xml:space="preserve"> </w:t>
      </w:r>
    </w:p>
    <w:p w14:paraId="38119AF3" w14:textId="77777777" w:rsidR="008D35EC" w:rsidRDefault="008D35EC" w:rsidP="00C275BE">
      <w:pPr>
        <w:pStyle w:val="BodyTextIndent"/>
        <w:keepNext/>
        <w:widowControl w:val="0"/>
        <w:spacing w:after="0" w:line="360" w:lineRule="auto"/>
        <w:ind w:left="0"/>
        <w:jc w:val="left"/>
        <w:rPr>
          <w:b/>
        </w:rPr>
      </w:pPr>
    </w:p>
    <w:p w14:paraId="778F7F7B" w14:textId="7F95FCD6" w:rsidR="008D35EC" w:rsidRDefault="008D35EC" w:rsidP="008D35EC">
      <w:pPr>
        <w:pStyle w:val="BodyTextIndent"/>
        <w:keepNext/>
        <w:widowControl w:val="0"/>
        <w:spacing w:line="360" w:lineRule="auto"/>
        <w:ind w:left="0"/>
        <w:jc w:val="left"/>
        <w:rPr>
          <w:b/>
        </w:rPr>
      </w:pPr>
      <w:r w:rsidRPr="00FA78E1">
        <w:rPr>
          <w:b/>
        </w:rPr>
        <w:t xml:space="preserve">Table 4.1.1-1 </w:t>
      </w:r>
      <w:r w:rsidRPr="00D01D52">
        <w:rPr>
          <w:b/>
        </w:rPr>
        <w:t>Residential Use per Customer per Billing Day</w:t>
      </w:r>
    </w:p>
    <w:p w14:paraId="571A79AF" w14:textId="77777777" w:rsidR="008D35EC" w:rsidRPr="00017F25" w:rsidRDefault="008D35EC" w:rsidP="008D35EC">
      <w:pPr>
        <w:pStyle w:val="BodyTextIndent"/>
        <w:keepNext/>
        <w:widowControl w:val="0"/>
        <w:spacing w:after="0"/>
        <w:ind w:left="0"/>
        <w:rPr>
          <w:b/>
        </w:rPr>
      </w:pPr>
      <w:r>
        <w:rPr>
          <w:b/>
        </w:rPr>
        <w:t>Residential S</w:t>
      </w:r>
      <w:r w:rsidRPr="00017F25">
        <w:rPr>
          <w:b/>
        </w:rPr>
        <w:t>hort-Term Model</w:t>
      </w:r>
    </w:p>
    <w:p w14:paraId="2DBB23FD" w14:textId="77777777" w:rsidR="008D35EC" w:rsidRDefault="008D35EC" w:rsidP="008D35EC">
      <w:pPr>
        <w:pStyle w:val="BodyTextIndent"/>
        <w:keepNext/>
        <w:widowControl w:val="0"/>
        <w:spacing w:after="0"/>
        <w:ind w:left="0"/>
        <w:rPr>
          <w:b/>
        </w:rPr>
      </w:pPr>
      <w:r w:rsidRPr="00017F25">
        <w:rPr>
          <w:b/>
        </w:rPr>
        <w:t>Budget 20</w:t>
      </w:r>
      <w:r>
        <w:rPr>
          <w:b/>
        </w:rPr>
        <w:t>25</w:t>
      </w:r>
    </w:p>
    <w:p w14:paraId="7F606C96" w14:textId="77777777" w:rsidR="008D35EC" w:rsidRDefault="008D35EC" w:rsidP="008D35EC">
      <w:pPr>
        <w:pStyle w:val="BodyTextIndent"/>
        <w:keepNext/>
        <w:widowControl w:val="0"/>
        <w:spacing w:after="0"/>
        <w:ind w:left="0"/>
        <w:rPr>
          <w:b/>
        </w:rPr>
      </w:pPr>
    </w:p>
    <w:p w14:paraId="5AAF3EDF" w14:textId="65CA0966" w:rsidR="008D35EC" w:rsidRDefault="0083602D" w:rsidP="00055B3C">
      <w:pPr>
        <w:pStyle w:val="BodyText"/>
        <w:spacing w:line="360" w:lineRule="auto"/>
        <w:rPr>
          <w:b w:val="0"/>
        </w:rPr>
      </w:pPr>
      <w:r w:rsidRPr="0083602D">
        <w:rPr>
          <w:b w:val="0"/>
          <w:noProof/>
        </w:rPr>
        <w:drawing>
          <wp:inline distT="0" distB="0" distL="0" distR="0" wp14:anchorId="40538AAE" wp14:editId="127C7E10">
            <wp:extent cx="3602990" cy="4425950"/>
            <wp:effectExtent l="0" t="0" r="0" b="0"/>
            <wp:docPr id="10055227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02990" cy="4425950"/>
                    </a:xfrm>
                    <a:prstGeom prst="rect">
                      <a:avLst/>
                    </a:prstGeom>
                    <a:noFill/>
                    <a:ln>
                      <a:noFill/>
                    </a:ln>
                  </pic:spPr>
                </pic:pic>
              </a:graphicData>
            </a:graphic>
          </wp:inline>
        </w:drawing>
      </w:r>
    </w:p>
    <w:p w14:paraId="6F4FFEE4" w14:textId="77777777" w:rsidR="008D35EC" w:rsidRDefault="008D35EC" w:rsidP="008D35EC">
      <w:pPr>
        <w:pStyle w:val="BodyTextIndent"/>
        <w:keepNext/>
        <w:widowControl w:val="0"/>
        <w:spacing w:line="360" w:lineRule="auto"/>
        <w:ind w:left="0"/>
        <w:jc w:val="left"/>
        <w:rPr>
          <w:b/>
        </w:rPr>
      </w:pPr>
      <w:r w:rsidRPr="00755994">
        <w:rPr>
          <w:b/>
        </w:rPr>
        <w:lastRenderedPageBreak/>
        <w:t>Where:</w:t>
      </w:r>
    </w:p>
    <w:p w14:paraId="71517E83" w14:textId="77777777" w:rsidR="008D35EC" w:rsidRDefault="008D35EC" w:rsidP="00C275BE">
      <w:pPr>
        <w:pStyle w:val="BodyText"/>
        <w:spacing w:after="0" w:line="360" w:lineRule="auto"/>
        <w:jc w:val="both"/>
        <w:rPr>
          <w:b w:val="0"/>
        </w:rPr>
      </w:pPr>
      <w:r w:rsidRPr="00D014D6">
        <w:rPr>
          <w:noProof/>
        </w:rPr>
        <w:drawing>
          <wp:inline distT="0" distB="0" distL="0" distR="0" wp14:anchorId="71F29122" wp14:editId="01B6BBAB">
            <wp:extent cx="5943600" cy="3736975"/>
            <wp:effectExtent l="0" t="0" r="0" b="0"/>
            <wp:docPr id="12075341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943600" cy="3736975"/>
                    </a:xfrm>
                    <a:prstGeom prst="rect">
                      <a:avLst/>
                    </a:prstGeom>
                    <a:noFill/>
                    <a:ln>
                      <a:noFill/>
                    </a:ln>
                  </pic:spPr>
                </pic:pic>
              </a:graphicData>
            </a:graphic>
          </wp:inline>
        </w:drawing>
      </w:r>
    </w:p>
    <w:p w14:paraId="3542A6DF" w14:textId="77777777" w:rsidR="008D35EC" w:rsidRDefault="008D35EC" w:rsidP="00C275BE">
      <w:pPr>
        <w:pStyle w:val="BodyText"/>
        <w:spacing w:after="0" w:line="360" w:lineRule="auto"/>
        <w:jc w:val="both"/>
        <w:rPr>
          <w:b w:val="0"/>
        </w:rPr>
      </w:pPr>
    </w:p>
    <w:p w14:paraId="70421821" w14:textId="079C4A7A" w:rsidR="002F66D4" w:rsidRDefault="002F66D4" w:rsidP="00C275BE">
      <w:pPr>
        <w:pStyle w:val="BodyText"/>
        <w:spacing w:after="0" w:line="360" w:lineRule="auto"/>
        <w:jc w:val="both"/>
        <w:rPr>
          <w:b w:val="0"/>
          <w:bCs/>
        </w:rPr>
      </w:pPr>
      <w:r w:rsidRPr="00FA78E1">
        <w:rPr>
          <w:b w:val="0"/>
        </w:rPr>
        <w:t>T</w:t>
      </w:r>
      <w:r w:rsidR="002C0FD1">
        <w:rPr>
          <w:b w:val="0"/>
        </w:rPr>
        <w:t>o eliminate t</w:t>
      </w:r>
      <w:r w:rsidRPr="00FA78E1">
        <w:rPr>
          <w:b w:val="0"/>
        </w:rPr>
        <w:t>h</w:t>
      </w:r>
      <w:r>
        <w:rPr>
          <w:b w:val="0"/>
        </w:rPr>
        <w:t>e</w:t>
      </w:r>
      <w:r w:rsidRPr="00FA78E1">
        <w:rPr>
          <w:b w:val="0"/>
        </w:rPr>
        <w:t xml:space="preserve"> </w:t>
      </w:r>
      <w:r>
        <w:rPr>
          <w:b w:val="0"/>
        </w:rPr>
        <w:t>impact o</w:t>
      </w:r>
      <w:r w:rsidRPr="00FA78E1">
        <w:rPr>
          <w:b w:val="0"/>
        </w:rPr>
        <w:t xml:space="preserve">n sales </w:t>
      </w:r>
      <w:r>
        <w:rPr>
          <w:b w:val="0"/>
        </w:rPr>
        <w:t>resulting from the variation in the length of billing period</w:t>
      </w:r>
      <w:r w:rsidR="002C0FD1">
        <w:rPr>
          <w:b w:val="0"/>
        </w:rPr>
        <w:t>s,</w:t>
      </w:r>
      <w:r>
        <w:rPr>
          <w:b w:val="0"/>
        </w:rPr>
        <w:t xml:space="preserve"> the use-per-customer (dependent) variable </w:t>
      </w:r>
      <w:r w:rsidR="0016616E">
        <w:rPr>
          <w:b w:val="0"/>
        </w:rPr>
        <w:t xml:space="preserve">and the monthly weather terms </w:t>
      </w:r>
      <w:r w:rsidR="002C0FD1">
        <w:rPr>
          <w:b w:val="0"/>
        </w:rPr>
        <w:t xml:space="preserve">are divided </w:t>
      </w:r>
      <w:r>
        <w:rPr>
          <w:b w:val="0"/>
        </w:rPr>
        <w:t xml:space="preserve">by the number of billing days. </w:t>
      </w:r>
      <w:r>
        <w:rPr>
          <w:b w:val="0"/>
          <w:bCs/>
        </w:rPr>
        <w:t xml:space="preserve">Historical average billing days per month are obtained from the </w:t>
      </w:r>
      <w:r w:rsidR="00924608">
        <w:rPr>
          <w:b w:val="0"/>
          <w:bCs/>
        </w:rPr>
        <w:t xml:space="preserve">Company’s </w:t>
      </w:r>
      <w:r>
        <w:rPr>
          <w:b w:val="0"/>
          <w:bCs/>
        </w:rPr>
        <w:t xml:space="preserve">annual meter reading schedules. For Budget </w:t>
      </w:r>
      <w:r w:rsidR="009950CE">
        <w:rPr>
          <w:b w:val="0"/>
          <w:bCs/>
        </w:rPr>
        <w:t>2025</w:t>
      </w:r>
      <w:r>
        <w:rPr>
          <w:b w:val="0"/>
          <w:bCs/>
        </w:rPr>
        <w:t xml:space="preserve">, average billing days were based on the actual meter schedules for each respective year available from </w:t>
      </w:r>
      <w:r w:rsidR="009950CE">
        <w:rPr>
          <w:b w:val="0"/>
          <w:bCs/>
        </w:rPr>
        <w:t>2024</w:t>
      </w:r>
      <w:r>
        <w:rPr>
          <w:b w:val="0"/>
          <w:bCs/>
        </w:rPr>
        <w:t>-</w:t>
      </w:r>
      <w:r w:rsidR="00A360E0">
        <w:rPr>
          <w:b w:val="0"/>
          <w:bCs/>
        </w:rPr>
        <w:t>2027</w:t>
      </w:r>
      <w:r>
        <w:rPr>
          <w:b w:val="0"/>
          <w:bCs/>
        </w:rPr>
        <w:t>. Subsequent years use a historical average</w:t>
      </w:r>
      <w:r w:rsidR="002C0FD1">
        <w:rPr>
          <w:b w:val="0"/>
          <w:bCs/>
        </w:rPr>
        <w:t xml:space="preserve"> of billing days</w:t>
      </w:r>
      <w:r w:rsidR="008951B9">
        <w:rPr>
          <w:b w:val="0"/>
          <w:bCs/>
        </w:rPr>
        <w:t xml:space="preserve"> per period</w:t>
      </w:r>
      <w:r>
        <w:rPr>
          <w:b w:val="0"/>
          <w:bCs/>
        </w:rPr>
        <w:t>, adjust</w:t>
      </w:r>
      <w:r w:rsidR="00924608">
        <w:rPr>
          <w:b w:val="0"/>
          <w:bCs/>
        </w:rPr>
        <w:t>ed</w:t>
      </w:r>
      <w:r>
        <w:rPr>
          <w:b w:val="0"/>
          <w:bCs/>
        </w:rPr>
        <w:t xml:space="preserve"> as needed to ensure an accurate number of days in the calendar and annual periods.</w:t>
      </w:r>
    </w:p>
    <w:p w14:paraId="7224CB57" w14:textId="77777777" w:rsidR="002F66D4" w:rsidRDefault="002F66D4" w:rsidP="008D35EC">
      <w:pPr>
        <w:pStyle w:val="BodyText"/>
        <w:spacing w:after="0" w:line="360" w:lineRule="auto"/>
        <w:jc w:val="both"/>
        <w:rPr>
          <w:b w:val="0"/>
          <w:bCs/>
        </w:rPr>
      </w:pPr>
    </w:p>
    <w:p w14:paraId="18300A5A" w14:textId="4FDAAF06" w:rsidR="00FA78E1" w:rsidRPr="00FA78E1" w:rsidRDefault="00FA78E1" w:rsidP="00C275BE">
      <w:pPr>
        <w:pStyle w:val="BodyText"/>
        <w:spacing w:after="0" w:line="360" w:lineRule="auto"/>
        <w:jc w:val="both"/>
        <w:rPr>
          <w:b w:val="0"/>
        </w:rPr>
      </w:pPr>
      <w:r w:rsidRPr="00FA78E1">
        <w:rPr>
          <w:b w:val="0"/>
        </w:rPr>
        <w:t xml:space="preserve">Weather has a significant </w:t>
      </w:r>
      <w:r w:rsidR="008951B9">
        <w:rPr>
          <w:b w:val="0"/>
        </w:rPr>
        <w:t>effect</w:t>
      </w:r>
      <w:r w:rsidR="008951B9" w:rsidRPr="00FA78E1">
        <w:rPr>
          <w:b w:val="0"/>
        </w:rPr>
        <w:t xml:space="preserve"> </w:t>
      </w:r>
      <w:r w:rsidRPr="00FA78E1">
        <w:rPr>
          <w:b w:val="0"/>
        </w:rPr>
        <w:t>on residential energy sales. H</w:t>
      </w:r>
      <w:r w:rsidR="00220022">
        <w:rPr>
          <w:b w:val="0"/>
        </w:rPr>
        <w:t>DH</w:t>
      </w:r>
      <w:r w:rsidRPr="00FA78E1">
        <w:rPr>
          <w:b w:val="0"/>
        </w:rPr>
        <w:t xml:space="preserve"> and </w:t>
      </w:r>
      <w:r w:rsidR="00220022">
        <w:rPr>
          <w:b w:val="0"/>
        </w:rPr>
        <w:t>CDH</w:t>
      </w:r>
      <w:r w:rsidRPr="00FA78E1">
        <w:rPr>
          <w:b w:val="0"/>
        </w:rPr>
        <w:t xml:space="preserve"> are used to measure the impact of weather on monthly residential energy sales. The degree </w:t>
      </w:r>
      <w:r w:rsidR="00340B25">
        <w:rPr>
          <w:b w:val="0"/>
        </w:rPr>
        <w:t>hour</w:t>
      </w:r>
      <w:r w:rsidRPr="00FA78E1">
        <w:rPr>
          <w:b w:val="0"/>
        </w:rPr>
        <w:t xml:space="preserve">s are computed as an average of the billing cycles. Residential </w:t>
      </w:r>
      <w:r w:rsidR="00220022">
        <w:rPr>
          <w:b w:val="0"/>
        </w:rPr>
        <w:t>HDH</w:t>
      </w:r>
      <w:r w:rsidRPr="00FA78E1">
        <w:rPr>
          <w:b w:val="0"/>
        </w:rPr>
        <w:t xml:space="preserve"> </w:t>
      </w:r>
      <w:r w:rsidR="004F756D">
        <w:rPr>
          <w:b w:val="0"/>
        </w:rPr>
        <w:t xml:space="preserve">are calculated </w:t>
      </w:r>
      <w:r w:rsidRPr="00FA78E1">
        <w:rPr>
          <w:b w:val="0"/>
        </w:rPr>
        <w:t>us</w:t>
      </w:r>
      <w:r w:rsidR="004F756D">
        <w:rPr>
          <w:b w:val="0"/>
        </w:rPr>
        <w:t>ing</w:t>
      </w:r>
      <w:r w:rsidRPr="00FA78E1">
        <w:rPr>
          <w:b w:val="0"/>
        </w:rPr>
        <w:t xml:space="preserve"> a </w:t>
      </w:r>
      <w:r w:rsidR="00A360E0">
        <w:rPr>
          <w:b w:val="0"/>
        </w:rPr>
        <w:t>60</w:t>
      </w:r>
      <w:r w:rsidRPr="00FA78E1">
        <w:rPr>
          <w:b w:val="0"/>
        </w:rPr>
        <w:t xml:space="preserve">°F threshold, and </w:t>
      </w:r>
      <w:r w:rsidR="00220022">
        <w:rPr>
          <w:b w:val="0"/>
        </w:rPr>
        <w:t>CDH</w:t>
      </w:r>
      <w:r w:rsidRPr="00FA78E1">
        <w:rPr>
          <w:b w:val="0"/>
        </w:rPr>
        <w:t xml:space="preserve"> use</w:t>
      </w:r>
      <w:r w:rsidR="004F756D">
        <w:rPr>
          <w:b w:val="0"/>
        </w:rPr>
        <w:t>s</w:t>
      </w:r>
      <w:r w:rsidRPr="00FA78E1">
        <w:rPr>
          <w:b w:val="0"/>
        </w:rPr>
        <w:t xml:space="preserve"> a </w:t>
      </w:r>
      <w:r w:rsidR="00A360E0" w:rsidRPr="00FA78E1">
        <w:rPr>
          <w:b w:val="0"/>
        </w:rPr>
        <w:t>6</w:t>
      </w:r>
      <w:r w:rsidR="00A360E0">
        <w:rPr>
          <w:b w:val="0"/>
        </w:rPr>
        <w:t>8</w:t>
      </w:r>
      <w:r w:rsidRPr="00FA78E1">
        <w:rPr>
          <w:b w:val="0"/>
        </w:rPr>
        <w:t xml:space="preserve">°F threshold. Degree </w:t>
      </w:r>
      <w:r w:rsidR="00340B25">
        <w:rPr>
          <w:b w:val="0"/>
        </w:rPr>
        <w:t>hour</w:t>
      </w:r>
      <w:r w:rsidRPr="00FA78E1">
        <w:rPr>
          <w:b w:val="0"/>
        </w:rPr>
        <w:t xml:space="preserve">s are averaged over </w:t>
      </w:r>
      <w:r w:rsidR="00B03BA7">
        <w:rPr>
          <w:b w:val="0"/>
        </w:rPr>
        <w:t>t</w:t>
      </w:r>
      <w:r w:rsidR="00B03BA7" w:rsidRPr="00FA78E1">
        <w:rPr>
          <w:b w:val="0"/>
        </w:rPr>
        <w:t xml:space="preserve">en </w:t>
      </w:r>
      <w:r w:rsidR="00EC3FBC">
        <w:rPr>
          <w:b w:val="0"/>
        </w:rPr>
        <w:t xml:space="preserve">National Weather Service </w:t>
      </w:r>
      <w:r w:rsidRPr="00FA78E1">
        <w:rPr>
          <w:b w:val="0"/>
        </w:rPr>
        <w:t xml:space="preserve">stations, and the temperatures at the weather stations are weighted by the residential energy use in the Georgia Power regions that are mapped to the </w:t>
      </w:r>
      <w:r w:rsidR="00B03BA7">
        <w:rPr>
          <w:b w:val="0"/>
        </w:rPr>
        <w:t>t</w:t>
      </w:r>
      <w:r w:rsidR="00B03BA7" w:rsidRPr="00FA78E1">
        <w:rPr>
          <w:b w:val="0"/>
        </w:rPr>
        <w:t xml:space="preserve">en </w:t>
      </w:r>
      <w:r w:rsidRPr="00FA78E1">
        <w:rPr>
          <w:b w:val="0"/>
        </w:rPr>
        <w:t>weather stations.</w:t>
      </w:r>
      <w:r w:rsidR="00340B25">
        <w:rPr>
          <w:b w:val="0"/>
        </w:rPr>
        <w:t xml:space="preserve"> </w:t>
      </w:r>
    </w:p>
    <w:p w14:paraId="0609D240" w14:textId="77777777" w:rsidR="00FA78E1" w:rsidRPr="00FA78E1" w:rsidRDefault="00FA78E1" w:rsidP="008B1036">
      <w:pPr>
        <w:pStyle w:val="BodyText"/>
        <w:spacing w:after="0" w:line="360" w:lineRule="auto"/>
        <w:jc w:val="both"/>
        <w:rPr>
          <w:b w:val="0"/>
        </w:rPr>
      </w:pPr>
    </w:p>
    <w:p w14:paraId="66D410E9" w14:textId="77777777" w:rsidR="008D35EC" w:rsidRDefault="008D35EC" w:rsidP="00471E0A">
      <w:pPr>
        <w:pStyle w:val="BodyText"/>
        <w:spacing w:line="360" w:lineRule="auto"/>
        <w:jc w:val="both"/>
        <w:rPr>
          <w:b w:val="0"/>
        </w:rPr>
      </w:pPr>
      <w:bookmarkStart w:id="268" w:name="_Hlk91946153"/>
      <w:bookmarkStart w:id="269" w:name="_Hlk89846632"/>
      <w:r>
        <w:rPr>
          <w:b w:val="0"/>
        </w:rPr>
        <w:t>For the monthly weather interaction variables, CDH</w:t>
      </w:r>
      <w:r w:rsidRPr="00FA78E1">
        <w:rPr>
          <w:b w:val="0"/>
        </w:rPr>
        <w:t xml:space="preserve"> </w:t>
      </w:r>
      <w:r>
        <w:rPr>
          <w:b w:val="0"/>
        </w:rPr>
        <w:t xml:space="preserve">per billing day </w:t>
      </w:r>
      <w:r w:rsidRPr="00FA78E1">
        <w:rPr>
          <w:b w:val="0"/>
        </w:rPr>
        <w:t xml:space="preserve">and </w:t>
      </w:r>
      <w:r>
        <w:rPr>
          <w:b w:val="0"/>
        </w:rPr>
        <w:t>HDH</w:t>
      </w:r>
      <w:r w:rsidRPr="00FA78E1">
        <w:rPr>
          <w:b w:val="0"/>
        </w:rPr>
        <w:t xml:space="preserve"> </w:t>
      </w:r>
      <w:r>
        <w:rPr>
          <w:b w:val="0"/>
        </w:rPr>
        <w:t xml:space="preserve">per billing day </w:t>
      </w:r>
      <w:r w:rsidRPr="00FA78E1">
        <w:rPr>
          <w:b w:val="0"/>
        </w:rPr>
        <w:t xml:space="preserve">are interacted with </w:t>
      </w:r>
      <w:r>
        <w:rPr>
          <w:b w:val="0"/>
        </w:rPr>
        <w:t>monthly binary</w:t>
      </w:r>
      <w:r w:rsidRPr="00FA78E1">
        <w:rPr>
          <w:b w:val="0"/>
        </w:rPr>
        <w:t xml:space="preserve"> variables to better distinguish their impact on the residential class at various times of the year. </w:t>
      </w:r>
    </w:p>
    <w:p w14:paraId="3318AA83" w14:textId="77777777" w:rsidR="008D35EC" w:rsidRDefault="008D35EC" w:rsidP="00861D63">
      <w:pPr>
        <w:pStyle w:val="BodyText"/>
        <w:spacing w:after="0" w:line="360" w:lineRule="auto"/>
        <w:jc w:val="both"/>
        <w:rPr>
          <w:b w:val="0"/>
        </w:rPr>
      </w:pPr>
    </w:p>
    <w:p w14:paraId="6E2106A9" w14:textId="27F9A49E" w:rsidR="00F421EC" w:rsidRPr="0019062C" w:rsidRDefault="004F756D" w:rsidP="005E0987">
      <w:pPr>
        <w:pStyle w:val="BodyText"/>
        <w:spacing w:after="0" w:line="360" w:lineRule="auto"/>
        <w:jc w:val="both"/>
        <w:rPr>
          <w:b w:val="0"/>
          <w:bCs/>
        </w:rPr>
      </w:pPr>
      <w:r>
        <w:rPr>
          <w:b w:val="0"/>
          <w:bCs/>
        </w:rPr>
        <w:t xml:space="preserve">As appliances, heating </w:t>
      </w:r>
      <w:r w:rsidR="00471E0A">
        <w:rPr>
          <w:b w:val="0"/>
          <w:bCs/>
        </w:rPr>
        <w:t xml:space="preserve">and </w:t>
      </w:r>
      <w:r>
        <w:rPr>
          <w:b w:val="0"/>
          <w:bCs/>
        </w:rPr>
        <w:t>cooling</w:t>
      </w:r>
      <w:r w:rsidR="00471E0A">
        <w:rPr>
          <w:b w:val="0"/>
          <w:bCs/>
        </w:rPr>
        <w:t xml:space="preserve"> equipment</w:t>
      </w:r>
      <w:r>
        <w:rPr>
          <w:b w:val="0"/>
          <w:bCs/>
        </w:rPr>
        <w:t>, lighting</w:t>
      </w:r>
      <w:r w:rsidR="00E54CA3">
        <w:rPr>
          <w:b w:val="0"/>
          <w:bCs/>
        </w:rPr>
        <w:t>,</w:t>
      </w:r>
      <w:r>
        <w:rPr>
          <w:b w:val="0"/>
          <w:bCs/>
        </w:rPr>
        <w:t xml:space="preserve"> and other residential end-uses </w:t>
      </w:r>
      <w:r w:rsidR="0043506E">
        <w:rPr>
          <w:b w:val="0"/>
          <w:bCs/>
        </w:rPr>
        <w:t xml:space="preserve">have </w:t>
      </w:r>
      <w:r>
        <w:rPr>
          <w:b w:val="0"/>
          <w:bCs/>
        </w:rPr>
        <w:t>become more efficient</w:t>
      </w:r>
      <w:r w:rsidR="00F05F78">
        <w:rPr>
          <w:b w:val="0"/>
          <w:bCs/>
        </w:rPr>
        <w:t xml:space="preserve"> over time</w:t>
      </w:r>
      <w:r>
        <w:rPr>
          <w:b w:val="0"/>
          <w:bCs/>
        </w:rPr>
        <w:t xml:space="preserve">, </w:t>
      </w:r>
      <w:r w:rsidR="0043506E">
        <w:rPr>
          <w:b w:val="0"/>
          <w:bCs/>
        </w:rPr>
        <w:t>Georgia Power has observed a decline in residential electric use per customer</w:t>
      </w:r>
      <w:r>
        <w:rPr>
          <w:b w:val="0"/>
          <w:bCs/>
        </w:rPr>
        <w:t xml:space="preserve">. </w:t>
      </w:r>
      <w:r w:rsidR="0043506E">
        <w:rPr>
          <w:b w:val="0"/>
          <w:bCs/>
        </w:rPr>
        <w:t>To capture this impact, the residential short-term energy model includes a</w:t>
      </w:r>
      <w:r>
        <w:rPr>
          <w:b w:val="0"/>
          <w:bCs/>
        </w:rPr>
        <w:t>n efficiency variable</w:t>
      </w:r>
      <w:r w:rsidR="002F66D4" w:rsidRPr="00D61DEE">
        <w:rPr>
          <w:b w:val="0"/>
          <w:bCs/>
        </w:rPr>
        <w:t xml:space="preserve"> </w:t>
      </w:r>
      <w:r>
        <w:rPr>
          <w:b w:val="0"/>
          <w:bCs/>
        </w:rPr>
        <w:t xml:space="preserve">derived from the long-term energy </w:t>
      </w:r>
      <w:r w:rsidR="00097844">
        <w:rPr>
          <w:b w:val="0"/>
          <w:bCs/>
        </w:rPr>
        <w:t xml:space="preserve">forecast </w:t>
      </w:r>
      <w:r>
        <w:rPr>
          <w:b w:val="0"/>
          <w:bCs/>
        </w:rPr>
        <w:t xml:space="preserve">model. It is calculated using </w:t>
      </w:r>
      <w:r w:rsidR="002F66D4" w:rsidRPr="00157C18">
        <w:rPr>
          <w:b w:val="0"/>
          <w:bCs/>
        </w:rPr>
        <w:t xml:space="preserve">the weighted average of equipment stock efficiency from the </w:t>
      </w:r>
      <w:r>
        <w:rPr>
          <w:b w:val="0"/>
          <w:bCs/>
        </w:rPr>
        <w:t xml:space="preserve">previous year’s </w:t>
      </w:r>
      <w:r w:rsidR="002F66D4" w:rsidRPr="00157C18">
        <w:rPr>
          <w:b w:val="0"/>
          <w:bCs/>
        </w:rPr>
        <w:t>L</w:t>
      </w:r>
      <w:r>
        <w:rPr>
          <w:b w:val="0"/>
          <w:bCs/>
        </w:rPr>
        <w:t>oad</w:t>
      </w:r>
      <w:r w:rsidR="002F66D4" w:rsidRPr="00157C18">
        <w:rPr>
          <w:b w:val="0"/>
          <w:bCs/>
        </w:rPr>
        <w:t>MAP mode</w:t>
      </w:r>
      <w:r>
        <w:rPr>
          <w:b w:val="0"/>
          <w:bCs/>
        </w:rPr>
        <w:t>l</w:t>
      </w:r>
      <w:r w:rsidR="002F66D4" w:rsidRPr="00157C18">
        <w:rPr>
          <w:b w:val="0"/>
          <w:bCs/>
        </w:rPr>
        <w:t xml:space="preserve">. The weights are based on the equipment’s relative contribution to total </w:t>
      </w:r>
      <w:r w:rsidR="00985933">
        <w:rPr>
          <w:b w:val="0"/>
          <w:bCs/>
        </w:rPr>
        <w:t xml:space="preserve">residential </w:t>
      </w:r>
      <w:r w:rsidR="002F66D4" w:rsidRPr="00157C18">
        <w:rPr>
          <w:b w:val="0"/>
          <w:bCs/>
        </w:rPr>
        <w:t>usage.</w:t>
      </w:r>
      <w:bookmarkEnd w:id="268"/>
      <w:bookmarkEnd w:id="269"/>
      <w:r w:rsidR="00616255">
        <w:rPr>
          <w:b w:val="0"/>
          <w:bCs/>
        </w:rPr>
        <w:t xml:space="preserve"> </w:t>
      </w:r>
    </w:p>
    <w:p w14:paraId="04097011" w14:textId="77777777" w:rsidR="001E02DE" w:rsidRPr="00FA78E1" w:rsidRDefault="001E02DE" w:rsidP="008B1036">
      <w:pPr>
        <w:pStyle w:val="BodyText"/>
        <w:spacing w:after="0" w:line="360" w:lineRule="auto"/>
        <w:jc w:val="both"/>
        <w:rPr>
          <w:b w:val="0"/>
        </w:rPr>
      </w:pPr>
    </w:p>
    <w:p w14:paraId="6FA15459" w14:textId="48F18D4F" w:rsidR="00BC3C20" w:rsidRDefault="004E7FF1" w:rsidP="002D2723">
      <w:pPr>
        <w:pStyle w:val="BodyText"/>
        <w:spacing w:after="0" w:line="360" w:lineRule="auto"/>
        <w:jc w:val="both"/>
        <w:rPr>
          <w:b w:val="0"/>
        </w:rPr>
      </w:pPr>
      <w:r>
        <w:rPr>
          <w:b w:val="0"/>
        </w:rPr>
        <w:t xml:space="preserve">The residential price of electricity is calculated by dividing </w:t>
      </w:r>
      <w:r w:rsidR="00DD7FC3">
        <w:rPr>
          <w:b w:val="0"/>
        </w:rPr>
        <w:t xml:space="preserve">nominal </w:t>
      </w:r>
      <w:r>
        <w:rPr>
          <w:b w:val="0"/>
        </w:rPr>
        <w:t xml:space="preserve">monthly residential revenue </w:t>
      </w:r>
      <w:r w:rsidR="00801C42">
        <w:rPr>
          <w:b w:val="0"/>
        </w:rPr>
        <w:t xml:space="preserve">from </w:t>
      </w:r>
      <w:r w:rsidR="00C275BE">
        <w:rPr>
          <w:b w:val="0"/>
        </w:rPr>
        <w:t xml:space="preserve">customer bills </w:t>
      </w:r>
      <w:r>
        <w:rPr>
          <w:b w:val="0"/>
        </w:rPr>
        <w:t xml:space="preserve">by monthly residential </w:t>
      </w:r>
      <w:r w:rsidR="00DD7FC3">
        <w:rPr>
          <w:b w:val="0"/>
        </w:rPr>
        <w:t xml:space="preserve">energy </w:t>
      </w:r>
      <w:r>
        <w:rPr>
          <w:b w:val="0"/>
        </w:rPr>
        <w:t xml:space="preserve">sales. </w:t>
      </w:r>
      <w:r w:rsidR="00DD7FC3">
        <w:rPr>
          <w:b w:val="0"/>
        </w:rPr>
        <w:t xml:space="preserve">Economic theory indicates that people respond to real prices rather than nominal prices, since </w:t>
      </w:r>
      <w:r w:rsidR="00DD7FC3" w:rsidRPr="00DD7FC3">
        <w:rPr>
          <w:b w:val="0"/>
        </w:rPr>
        <w:t>r</w:t>
      </w:r>
      <w:r w:rsidR="00DD7FC3" w:rsidRPr="001E2F94">
        <w:rPr>
          <w:b w:val="0"/>
        </w:rPr>
        <w:t>eal prices provide a more accurate representation of purchasing power over time</w:t>
      </w:r>
      <w:r w:rsidR="00DD7FC3">
        <w:rPr>
          <w:b w:val="0"/>
        </w:rPr>
        <w:t xml:space="preserve">. To calculate real prices, the nominal price is divided by the U.S. </w:t>
      </w:r>
      <w:r w:rsidR="00205F61">
        <w:rPr>
          <w:b w:val="0"/>
        </w:rPr>
        <w:t>GDP</w:t>
      </w:r>
      <w:r w:rsidR="00DD7FC3">
        <w:rPr>
          <w:b w:val="0"/>
        </w:rPr>
        <w:t xml:space="preserve"> deflator. </w:t>
      </w:r>
    </w:p>
    <w:p w14:paraId="67C65875" w14:textId="77777777" w:rsidR="00FA78E1" w:rsidRPr="00FA78E1" w:rsidRDefault="00FA78E1" w:rsidP="008B1036">
      <w:pPr>
        <w:pStyle w:val="BodyText"/>
        <w:spacing w:after="0" w:line="360" w:lineRule="auto"/>
        <w:jc w:val="both"/>
        <w:rPr>
          <w:b w:val="0"/>
        </w:rPr>
      </w:pPr>
    </w:p>
    <w:p w14:paraId="733B0614" w14:textId="19DEC577" w:rsidR="004E452E" w:rsidRPr="004E452E" w:rsidRDefault="008E452D" w:rsidP="005E0987">
      <w:pPr>
        <w:pStyle w:val="BodyTextIndent"/>
        <w:keepNext/>
        <w:widowControl w:val="0"/>
        <w:spacing w:after="0" w:line="360" w:lineRule="auto"/>
        <w:ind w:left="0"/>
        <w:jc w:val="both"/>
      </w:pPr>
      <w:r>
        <w:t xml:space="preserve">To calculate total </w:t>
      </w:r>
      <w:r w:rsidRPr="004E452E">
        <w:t xml:space="preserve">forecasted </w:t>
      </w:r>
      <w:r w:rsidR="00C073D1">
        <w:t xml:space="preserve">residential </w:t>
      </w:r>
      <w:r w:rsidRPr="004E452E">
        <w:t>billed energy sales</w:t>
      </w:r>
      <w:r>
        <w:t>, t</w:t>
      </w:r>
      <w:r w:rsidR="00FA78E1" w:rsidRPr="004E452E">
        <w:t>he forecast of residential use</w:t>
      </w:r>
      <w:r w:rsidR="00623C06" w:rsidRPr="004E452E">
        <w:t xml:space="preserve"> </w:t>
      </w:r>
      <w:r w:rsidR="00FA78E1" w:rsidRPr="004E452E">
        <w:t>per</w:t>
      </w:r>
      <w:r w:rsidR="00623C06" w:rsidRPr="004E452E">
        <w:t xml:space="preserve"> </w:t>
      </w:r>
      <w:r w:rsidR="00FA78E1" w:rsidRPr="004E452E">
        <w:t>customer</w:t>
      </w:r>
      <w:r w:rsidR="00623C06" w:rsidRPr="004E452E">
        <w:t xml:space="preserve"> </w:t>
      </w:r>
      <w:r w:rsidR="00755994" w:rsidRPr="004E452E">
        <w:t>per</w:t>
      </w:r>
      <w:r w:rsidR="00623C06" w:rsidRPr="004E452E">
        <w:t xml:space="preserve"> </w:t>
      </w:r>
      <w:r w:rsidR="00755994" w:rsidRPr="004E452E">
        <w:t>billing</w:t>
      </w:r>
      <w:r w:rsidR="00623C06" w:rsidRPr="004E452E">
        <w:t xml:space="preserve"> </w:t>
      </w:r>
      <w:r w:rsidR="00755994" w:rsidRPr="004E452E">
        <w:t>day</w:t>
      </w:r>
      <w:r w:rsidR="00FA78E1" w:rsidRPr="004E452E">
        <w:t xml:space="preserve"> is multiplied by </w:t>
      </w:r>
      <w:r w:rsidR="00C112B5" w:rsidRPr="004E452E">
        <w:t xml:space="preserve">the </w:t>
      </w:r>
      <w:r w:rsidR="0041325F" w:rsidRPr="004E452E">
        <w:t>forecaste</w:t>
      </w:r>
      <w:r w:rsidR="00C112B5" w:rsidRPr="004E452E">
        <w:t>d</w:t>
      </w:r>
      <w:r w:rsidR="0041325F" w:rsidRPr="004E452E">
        <w:t xml:space="preserve"> number of </w:t>
      </w:r>
      <w:r w:rsidR="00765715" w:rsidRPr="004E452E">
        <w:t xml:space="preserve">customers </w:t>
      </w:r>
      <w:r w:rsidR="00765715">
        <w:t xml:space="preserve">and </w:t>
      </w:r>
      <w:r w:rsidR="0041325F" w:rsidRPr="004E452E">
        <w:t>billing days</w:t>
      </w:r>
      <w:r w:rsidR="00FA78E1" w:rsidRPr="004E452E">
        <w:t xml:space="preserve">. </w:t>
      </w:r>
      <w:r w:rsidR="004E7FF1" w:rsidRPr="00FA78E1">
        <w:t>The residential customer forecast</w:t>
      </w:r>
      <w:r w:rsidR="00BC3C20">
        <w:t xml:space="preserve"> model</w:t>
      </w:r>
      <w:r w:rsidR="004E7FF1" w:rsidRPr="00FA78E1">
        <w:t xml:space="preserve"> is presented in </w:t>
      </w:r>
      <w:r w:rsidR="004E7FF1">
        <w:t>S</w:t>
      </w:r>
      <w:r w:rsidR="004E7FF1" w:rsidRPr="00FA78E1">
        <w:t>ection 4.2.1.</w:t>
      </w:r>
    </w:p>
    <w:p w14:paraId="79F34BCE" w14:textId="1B600F3A" w:rsidR="00653602" w:rsidRDefault="00653602" w:rsidP="00A32ED3">
      <w:pPr>
        <w:pStyle w:val="BodyTextIndent"/>
        <w:keepNext/>
        <w:widowControl w:val="0"/>
        <w:spacing w:line="360" w:lineRule="auto"/>
        <w:ind w:left="0"/>
      </w:pPr>
      <w:bookmarkStart w:id="270" w:name="_Toc503665754"/>
      <w:bookmarkStart w:id="271" w:name="_Toc112219381"/>
      <w:bookmarkStart w:id="272" w:name="_Toc347120383"/>
    </w:p>
    <w:p w14:paraId="507777A3" w14:textId="77777777" w:rsidR="00FA78E1" w:rsidRPr="00FA78E1" w:rsidRDefault="00FA78E1" w:rsidP="00FA78E1">
      <w:pPr>
        <w:pStyle w:val="Heading2"/>
        <w:jc w:val="left"/>
        <w:rPr>
          <w:rFonts w:ascii="Arial" w:hAnsi="Arial" w:cs="Arial"/>
          <w:b/>
          <w:color w:val="auto"/>
          <w:sz w:val="20"/>
          <w:szCs w:val="20"/>
        </w:rPr>
      </w:pPr>
      <w:bookmarkStart w:id="273" w:name="_Toc188257138"/>
      <w:bookmarkStart w:id="274" w:name="_Toc188257353"/>
      <w:bookmarkStart w:id="275" w:name="_Toc188257577"/>
      <w:bookmarkStart w:id="276" w:name="_Toc189162586"/>
      <w:r w:rsidRPr="00FA78E1">
        <w:rPr>
          <w:rFonts w:ascii="Arial" w:hAnsi="Arial" w:cs="Arial"/>
          <w:b/>
          <w:color w:val="auto"/>
          <w:sz w:val="20"/>
          <w:szCs w:val="20"/>
        </w:rPr>
        <w:t>4.1.2</w:t>
      </w:r>
      <w:r w:rsidRPr="00FA78E1">
        <w:rPr>
          <w:rFonts w:ascii="Arial" w:hAnsi="Arial" w:cs="Arial"/>
          <w:b/>
          <w:color w:val="auto"/>
          <w:sz w:val="20"/>
          <w:szCs w:val="20"/>
        </w:rPr>
        <w:tab/>
        <w:t>Commercial Sales</w:t>
      </w:r>
      <w:bookmarkEnd w:id="270"/>
      <w:bookmarkEnd w:id="271"/>
      <w:bookmarkEnd w:id="272"/>
      <w:bookmarkEnd w:id="273"/>
      <w:bookmarkEnd w:id="274"/>
      <w:bookmarkEnd w:id="275"/>
      <w:bookmarkEnd w:id="276"/>
    </w:p>
    <w:p w14:paraId="123590D1" w14:textId="77777777" w:rsidR="00FA78E1" w:rsidRDefault="00FA78E1" w:rsidP="00FA78E1">
      <w:pPr>
        <w:pStyle w:val="BodyText2"/>
        <w:spacing w:line="360" w:lineRule="auto"/>
        <w:jc w:val="left"/>
        <w:rPr>
          <w:b w:val="0"/>
        </w:rPr>
      </w:pPr>
    </w:p>
    <w:p w14:paraId="2C016B48" w14:textId="11552A41" w:rsidR="00FA78E1" w:rsidRPr="00FA78E1" w:rsidRDefault="00FA78E1" w:rsidP="00FA78E1">
      <w:pPr>
        <w:pStyle w:val="BodyText2"/>
        <w:spacing w:line="360" w:lineRule="auto"/>
        <w:jc w:val="left"/>
        <w:rPr>
          <w:b w:val="0"/>
        </w:rPr>
      </w:pPr>
      <w:r w:rsidRPr="00FA78E1">
        <w:rPr>
          <w:b w:val="0"/>
        </w:rPr>
        <w:t xml:space="preserve">The model of energy sales </w:t>
      </w:r>
      <w:r w:rsidR="002F710D">
        <w:rPr>
          <w:b w:val="0"/>
        </w:rPr>
        <w:t>for</w:t>
      </w:r>
      <w:r w:rsidR="002F710D" w:rsidRPr="00FA78E1">
        <w:rPr>
          <w:b w:val="0"/>
        </w:rPr>
        <w:t xml:space="preserve"> </w:t>
      </w:r>
      <w:r w:rsidRPr="00FA78E1">
        <w:rPr>
          <w:b w:val="0"/>
        </w:rPr>
        <w:t>the commercial class depends on the following factors:</w:t>
      </w:r>
    </w:p>
    <w:p w14:paraId="7D41E335" w14:textId="77777777" w:rsidR="00004B38" w:rsidRDefault="002115C1" w:rsidP="00BC7C3C">
      <w:pPr>
        <w:pStyle w:val="ListBullet4"/>
      </w:pPr>
      <w:r>
        <w:t>Number of customers</w:t>
      </w:r>
    </w:p>
    <w:p w14:paraId="191F4CF4" w14:textId="77777777" w:rsidR="00004B38" w:rsidRPr="003A3426" w:rsidRDefault="00004B38" w:rsidP="00004B38">
      <w:pPr>
        <w:pStyle w:val="ListBullet4"/>
      </w:pPr>
      <w:r w:rsidRPr="00FA78E1">
        <w:t>Number of days in the billing cycle</w:t>
      </w:r>
    </w:p>
    <w:p w14:paraId="4D7D7C53" w14:textId="60D7F8FE" w:rsidR="00FA78E1" w:rsidRDefault="00FA78E1" w:rsidP="00BC7C3C">
      <w:pPr>
        <w:pStyle w:val="ListBullet4"/>
      </w:pPr>
      <w:r w:rsidRPr="003A3426">
        <w:t>Weather</w:t>
      </w:r>
    </w:p>
    <w:p w14:paraId="296BCC63" w14:textId="5EC900CE" w:rsidR="00C44F38" w:rsidRPr="003A3426" w:rsidRDefault="00D014D6" w:rsidP="00BC7C3C">
      <w:pPr>
        <w:pStyle w:val="ListBullet4"/>
      </w:pPr>
      <w:r>
        <w:t>Real GSP from Commercial activity</w:t>
      </w:r>
    </w:p>
    <w:p w14:paraId="5CF5FA0A" w14:textId="77777777" w:rsidR="00FA78E1" w:rsidRPr="003A3426" w:rsidRDefault="00FA78E1" w:rsidP="00FA78E1"/>
    <w:p w14:paraId="63863C67" w14:textId="71C99B6F" w:rsidR="00FA78E1" w:rsidRPr="00FA78E1" w:rsidRDefault="00FA78E1" w:rsidP="004C2EFE">
      <w:pPr>
        <w:pStyle w:val="BodyText"/>
        <w:spacing w:before="240" w:after="0" w:line="360" w:lineRule="auto"/>
        <w:jc w:val="both"/>
        <w:rPr>
          <w:b w:val="0"/>
        </w:rPr>
      </w:pPr>
      <w:r w:rsidRPr="00FA78E1">
        <w:rPr>
          <w:b w:val="0"/>
        </w:rPr>
        <w:t>Commercial energy sales are projected using a</w:t>
      </w:r>
      <w:r w:rsidR="00004B38">
        <w:rPr>
          <w:b w:val="0"/>
        </w:rPr>
        <w:t xml:space="preserve"> linear regression model that relates </w:t>
      </w:r>
      <w:r w:rsidRPr="00FA78E1">
        <w:rPr>
          <w:b w:val="0"/>
        </w:rPr>
        <w:t>monthly energy</w:t>
      </w:r>
      <w:r w:rsidR="00004B38">
        <w:rPr>
          <w:b w:val="0"/>
        </w:rPr>
        <w:t xml:space="preserve"> use per customer per billing day</w:t>
      </w:r>
      <w:r w:rsidRPr="00FA78E1">
        <w:rPr>
          <w:b w:val="0"/>
        </w:rPr>
        <w:t xml:space="preserve"> </w:t>
      </w:r>
      <w:r w:rsidR="00FB7D66">
        <w:rPr>
          <w:b w:val="0"/>
        </w:rPr>
        <w:t>to</w:t>
      </w:r>
      <w:r w:rsidR="00FB7D66" w:rsidRPr="00FA78E1">
        <w:rPr>
          <w:b w:val="0"/>
        </w:rPr>
        <w:t xml:space="preserve"> </w:t>
      </w:r>
      <w:r w:rsidRPr="00FA78E1">
        <w:rPr>
          <w:b w:val="0"/>
        </w:rPr>
        <w:t xml:space="preserve">independent variables that capture the impacts of varying weather conditions and </w:t>
      </w:r>
      <w:r w:rsidR="00055B3C">
        <w:rPr>
          <w:b w:val="0"/>
        </w:rPr>
        <w:t>commercial economic activity</w:t>
      </w:r>
      <w:r w:rsidRPr="00FA78E1">
        <w:rPr>
          <w:b w:val="0"/>
        </w:rPr>
        <w:t>.</w:t>
      </w:r>
      <w:r w:rsidR="00765715">
        <w:rPr>
          <w:b w:val="0"/>
        </w:rPr>
        <w:t xml:space="preserve"> </w:t>
      </w:r>
    </w:p>
    <w:p w14:paraId="2FC83567" w14:textId="77777777" w:rsidR="00FA78E1" w:rsidRPr="00FA78E1" w:rsidRDefault="00FA78E1" w:rsidP="008B1036">
      <w:pPr>
        <w:pStyle w:val="BodyText"/>
        <w:spacing w:after="0" w:line="360" w:lineRule="auto"/>
        <w:jc w:val="left"/>
        <w:rPr>
          <w:b w:val="0"/>
        </w:rPr>
      </w:pPr>
    </w:p>
    <w:p w14:paraId="692112BB" w14:textId="0DCCC570" w:rsidR="00765715" w:rsidRDefault="00765715" w:rsidP="005E0987">
      <w:pPr>
        <w:pStyle w:val="BodyText"/>
        <w:spacing w:after="0" w:line="360" w:lineRule="auto"/>
        <w:jc w:val="both"/>
        <w:rPr>
          <w:b w:val="0"/>
          <w:bCs/>
        </w:rPr>
      </w:pPr>
      <w:r>
        <w:rPr>
          <w:b w:val="0"/>
        </w:rPr>
        <w:t>Similar to the residential model, t</w:t>
      </w:r>
      <w:r w:rsidRPr="00FA78E1">
        <w:rPr>
          <w:b w:val="0"/>
        </w:rPr>
        <w:t>h</w:t>
      </w:r>
      <w:r>
        <w:rPr>
          <w:b w:val="0"/>
        </w:rPr>
        <w:t>e</w:t>
      </w:r>
      <w:r w:rsidRPr="00FA78E1">
        <w:rPr>
          <w:b w:val="0"/>
        </w:rPr>
        <w:t xml:space="preserve"> </w:t>
      </w:r>
      <w:r>
        <w:rPr>
          <w:b w:val="0"/>
        </w:rPr>
        <w:t>impact o</w:t>
      </w:r>
      <w:r w:rsidRPr="00FA78E1">
        <w:rPr>
          <w:b w:val="0"/>
        </w:rPr>
        <w:t xml:space="preserve">n sales </w:t>
      </w:r>
      <w:r>
        <w:rPr>
          <w:b w:val="0"/>
        </w:rPr>
        <w:t xml:space="preserve">resulting from the variation in the length of the billing period </w:t>
      </w:r>
      <w:r w:rsidRPr="00FA78E1">
        <w:rPr>
          <w:b w:val="0"/>
        </w:rPr>
        <w:t xml:space="preserve">is addressed by </w:t>
      </w:r>
      <w:r>
        <w:rPr>
          <w:b w:val="0"/>
        </w:rPr>
        <w:t xml:space="preserve">dividing the commercial energy use per customer (dependent) variable and the monthly weather terms by the number of billing days. </w:t>
      </w:r>
      <w:r>
        <w:rPr>
          <w:b w:val="0"/>
          <w:bCs/>
        </w:rPr>
        <w:t xml:space="preserve">Historical average billing days per month are obtained from the annual meter reading schedules. For Budget </w:t>
      </w:r>
      <w:r w:rsidR="00007930">
        <w:rPr>
          <w:b w:val="0"/>
          <w:bCs/>
        </w:rPr>
        <w:t>2025</w:t>
      </w:r>
      <w:r>
        <w:rPr>
          <w:b w:val="0"/>
          <w:bCs/>
        </w:rPr>
        <w:t xml:space="preserve">, average billing days were based on the actual meter schedules for each respective year available from </w:t>
      </w:r>
      <w:r w:rsidR="00007930">
        <w:rPr>
          <w:b w:val="0"/>
          <w:bCs/>
        </w:rPr>
        <w:t>2024</w:t>
      </w:r>
      <w:r>
        <w:rPr>
          <w:b w:val="0"/>
          <w:bCs/>
        </w:rPr>
        <w:t>-</w:t>
      </w:r>
      <w:r w:rsidR="00007930">
        <w:rPr>
          <w:b w:val="0"/>
          <w:bCs/>
        </w:rPr>
        <w:t>2027</w:t>
      </w:r>
      <w:r>
        <w:rPr>
          <w:b w:val="0"/>
          <w:bCs/>
        </w:rPr>
        <w:t>. Subsequent years use a historical average, adjust</w:t>
      </w:r>
      <w:r w:rsidR="00924608">
        <w:rPr>
          <w:b w:val="0"/>
          <w:bCs/>
        </w:rPr>
        <w:t>ed</w:t>
      </w:r>
      <w:r>
        <w:rPr>
          <w:b w:val="0"/>
          <w:bCs/>
        </w:rPr>
        <w:t xml:space="preserve"> as needed to ensure an accurate number of days in the calendar and annual periods.</w:t>
      </w:r>
    </w:p>
    <w:p w14:paraId="130079F7" w14:textId="77777777" w:rsidR="00765715" w:rsidRDefault="00765715" w:rsidP="008B1036">
      <w:pPr>
        <w:pStyle w:val="BodyText"/>
        <w:spacing w:after="0" w:line="360" w:lineRule="auto"/>
        <w:jc w:val="both"/>
        <w:rPr>
          <w:b w:val="0"/>
        </w:rPr>
      </w:pPr>
    </w:p>
    <w:p w14:paraId="2EB57F2B" w14:textId="3204050E" w:rsidR="00FA78E1" w:rsidRPr="00FA78E1" w:rsidRDefault="00623C06" w:rsidP="005E0987">
      <w:pPr>
        <w:pStyle w:val="BodyText"/>
        <w:spacing w:after="0" w:line="360" w:lineRule="auto"/>
        <w:jc w:val="both"/>
        <w:rPr>
          <w:b w:val="0"/>
        </w:rPr>
      </w:pPr>
      <w:r>
        <w:rPr>
          <w:b w:val="0"/>
        </w:rPr>
        <w:lastRenderedPageBreak/>
        <w:t>HDH and CDH</w:t>
      </w:r>
      <w:r w:rsidR="00FA78E1" w:rsidRPr="00FA78E1">
        <w:rPr>
          <w:b w:val="0"/>
        </w:rPr>
        <w:t xml:space="preserve"> are used to measure the impact of weather on monthly commercial energy sales. As with the residential class, </w:t>
      </w:r>
      <w:r w:rsidR="002B7982">
        <w:rPr>
          <w:b w:val="0"/>
        </w:rPr>
        <w:t>HDH and CDH</w:t>
      </w:r>
      <w:r w:rsidR="00FA78E1" w:rsidRPr="00FA78E1">
        <w:rPr>
          <w:b w:val="0"/>
        </w:rPr>
        <w:t xml:space="preserve"> are computed as an average of the billing cycles. </w:t>
      </w:r>
      <w:r w:rsidR="00765715">
        <w:rPr>
          <w:b w:val="0"/>
        </w:rPr>
        <w:t xml:space="preserve">For the commercial class, </w:t>
      </w:r>
      <w:r>
        <w:rPr>
          <w:b w:val="0"/>
        </w:rPr>
        <w:t>HDH</w:t>
      </w:r>
      <w:r w:rsidR="00FA78E1" w:rsidRPr="00A76664">
        <w:rPr>
          <w:b w:val="0"/>
        </w:rPr>
        <w:t xml:space="preserve"> </w:t>
      </w:r>
      <w:r w:rsidR="00FA78E1" w:rsidRPr="00FA78E1">
        <w:rPr>
          <w:b w:val="0"/>
        </w:rPr>
        <w:t xml:space="preserve">are computed </w:t>
      </w:r>
      <w:r w:rsidR="00765715">
        <w:rPr>
          <w:b w:val="0"/>
        </w:rPr>
        <w:t>using</w:t>
      </w:r>
      <w:r w:rsidR="00765715" w:rsidRPr="00FA78E1">
        <w:rPr>
          <w:b w:val="0"/>
        </w:rPr>
        <w:t xml:space="preserve"> </w:t>
      </w:r>
      <w:r w:rsidR="00FA78E1" w:rsidRPr="00FA78E1">
        <w:rPr>
          <w:b w:val="0"/>
        </w:rPr>
        <w:t>a 5</w:t>
      </w:r>
      <w:r w:rsidR="00385BA6">
        <w:rPr>
          <w:b w:val="0"/>
        </w:rPr>
        <w:t>1</w:t>
      </w:r>
      <w:r w:rsidR="00B947F1" w:rsidRPr="00FA78E1">
        <w:rPr>
          <w:b w:val="0"/>
        </w:rPr>
        <w:t>°</w:t>
      </w:r>
      <w:r w:rsidR="00CD13F1">
        <w:rPr>
          <w:b w:val="0"/>
        </w:rPr>
        <w:t>F</w:t>
      </w:r>
      <w:r w:rsidR="00FA78E1" w:rsidRPr="00FA78E1">
        <w:rPr>
          <w:b w:val="0"/>
        </w:rPr>
        <w:t xml:space="preserve"> threshold and </w:t>
      </w:r>
      <w:r>
        <w:rPr>
          <w:b w:val="0"/>
        </w:rPr>
        <w:t>CDH</w:t>
      </w:r>
      <w:r w:rsidR="00FA78E1" w:rsidRPr="00A76664">
        <w:rPr>
          <w:b w:val="0"/>
        </w:rPr>
        <w:t xml:space="preserve"> </w:t>
      </w:r>
      <w:r w:rsidR="00FA78E1" w:rsidRPr="00FA78E1">
        <w:rPr>
          <w:b w:val="0"/>
        </w:rPr>
        <w:t xml:space="preserve">are computed with a </w:t>
      </w:r>
      <w:r w:rsidR="00007930" w:rsidRPr="00FA78E1">
        <w:rPr>
          <w:b w:val="0"/>
        </w:rPr>
        <w:t>6</w:t>
      </w:r>
      <w:r w:rsidR="00007930">
        <w:rPr>
          <w:b w:val="0"/>
        </w:rPr>
        <w:t>1</w:t>
      </w:r>
      <w:r w:rsidR="00B947F1" w:rsidRPr="00FA78E1">
        <w:rPr>
          <w:b w:val="0"/>
        </w:rPr>
        <w:t>°</w:t>
      </w:r>
      <w:r w:rsidR="00FA78E1" w:rsidRPr="00FA78E1">
        <w:rPr>
          <w:b w:val="0"/>
        </w:rPr>
        <w:t xml:space="preserve">F threshold. Degree </w:t>
      </w:r>
      <w:r w:rsidR="00F453F7">
        <w:rPr>
          <w:b w:val="0"/>
        </w:rPr>
        <w:t>hour</w:t>
      </w:r>
      <w:r w:rsidR="00FA78E1" w:rsidRPr="00FA78E1">
        <w:rPr>
          <w:b w:val="0"/>
        </w:rPr>
        <w:t xml:space="preserve">s are averaged over </w:t>
      </w:r>
      <w:r w:rsidR="00385BA6">
        <w:rPr>
          <w:b w:val="0"/>
        </w:rPr>
        <w:t>t</w:t>
      </w:r>
      <w:r w:rsidR="00385BA6" w:rsidRPr="00FA78E1">
        <w:rPr>
          <w:b w:val="0"/>
        </w:rPr>
        <w:t xml:space="preserve">en </w:t>
      </w:r>
      <w:r w:rsidR="00D23B41">
        <w:rPr>
          <w:b w:val="0"/>
        </w:rPr>
        <w:t>National Weather Service</w:t>
      </w:r>
      <w:r w:rsidR="00D23B41" w:rsidRPr="00FA78E1" w:rsidDel="00D23B41">
        <w:rPr>
          <w:b w:val="0"/>
        </w:rPr>
        <w:t xml:space="preserve"> </w:t>
      </w:r>
      <w:r w:rsidR="00FA78E1" w:rsidRPr="00FA78E1">
        <w:rPr>
          <w:b w:val="0"/>
        </w:rPr>
        <w:t xml:space="preserve">stations, and the temperatures at the weather stations are weighted by the commercial energy use in the Georgia Power regions that are mapped to the </w:t>
      </w:r>
      <w:r w:rsidR="00385BA6">
        <w:rPr>
          <w:b w:val="0"/>
        </w:rPr>
        <w:t>t</w:t>
      </w:r>
      <w:r w:rsidR="00385BA6" w:rsidRPr="00FA78E1">
        <w:rPr>
          <w:b w:val="0"/>
        </w:rPr>
        <w:t xml:space="preserve">en </w:t>
      </w:r>
      <w:r w:rsidR="00FA78E1" w:rsidRPr="00FA78E1">
        <w:rPr>
          <w:b w:val="0"/>
        </w:rPr>
        <w:t>weather stations.</w:t>
      </w:r>
    </w:p>
    <w:p w14:paraId="5A1D968C" w14:textId="77777777" w:rsidR="00B86710" w:rsidRPr="00FA78E1" w:rsidRDefault="00B86710" w:rsidP="008B1036">
      <w:pPr>
        <w:pStyle w:val="BodyText"/>
        <w:spacing w:after="0" w:line="360" w:lineRule="auto"/>
        <w:jc w:val="both"/>
        <w:rPr>
          <w:b w:val="0"/>
          <w:highlight w:val="yellow"/>
        </w:rPr>
      </w:pPr>
    </w:p>
    <w:p w14:paraId="116E39F9" w14:textId="158FE0EE" w:rsidR="00FA78E1" w:rsidRPr="00FA78E1" w:rsidRDefault="00FA78E1" w:rsidP="005E0987">
      <w:pPr>
        <w:pStyle w:val="BodyText"/>
        <w:spacing w:after="0" w:line="360" w:lineRule="auto"/>
        <w:jc w:val="both"/>
        <w:rPr>
          <w:b w:val="0"/>
        </w:rPr>
      </w:pPr>
      <w:r w:rsidRPr="00FA78E1">
        <w:rPr>
          <w:b w:val="0"/>
        </w:rPr>
        <w:t xml:space="preserve">The </w:t>
      </w:r>
      <w:r w:rsidR="00D23B41">
        <w:rPr>
          <w:b w:val="0"/>
        </w:rPr>
        <w:t xml:space="preserve">commercial short-term </w:t>
      </w:r>
      <w:r w:rsidRPr="00FA78E1">
        <w:rPr>
          <w:b w:val="0"/>
        </w:rPr>
        <w:t xml:space="preserve">regression model relates monthly commercial energy sales </w:t>
      </w:r>
      <w:r w:rsidR="00F453F7">
        <w:rPr>
          <w:b w:val="0"/>
        </w:rPr>
        <w:t xml:space="preserve">per billing day </w:t>
      </w:r>
      <w:r w:rsidRPr="00FA78E1">
        <w:rPr>
          <w:b w:val="0"/>
        </w:rPr>
        <w:t>to</w:t>
      </w:r>
      <w:r w:rsidR="00385BA6">
        <w:rPr>
          <w:b w:val="0"/>
        </w:rPr>
        <w:t xml:space="preserve"> an intercept, </w:t>
      </w:r>
      <w:r w:rsidR="00F453F7">
        <w:rPr>
          <w:b w:val="0"/>
        </w:rPr>
        <w:t>twelve</w:t>
      </w:r>
      <w:r w:rsidR="0056715D">
        <w:rPr>
          <w:b w:val="0"/>
        </w:rPr>
        <w:t xml:space="preserve"> monthly </w:t>
      </w:r>
      <w:r w:rsidR="00FB7D66">
        <w:rPr>
          <w:b w:val="0"/>
        </w:rPr>
        <w:t xml:space="preserve">weather </w:t>
      </w:r>
      <w:r w:rsidR="00F453F7">
        <w:rPr>
          <w:b w:val="0"/>
        </w:rPr>
        <w:t xml:space="preserve">interaction terms </w:t>
      </w:r>
      <w:r w:rsidR="0041325F">
        <w:rPr>
          <w:b w:val="0"/>
        </w:rPr>
        <w:t xml:space="preserve">that are </w:t>
      </w:r>
      <w:r w:rsidR="00F453F7">
        <w:rPr>
          <w:b w:val="0"/>
        </w:rPr>
        <w:t>divided by the number of billing days</w:t>
      </w:r>
      <w:r w:rsidR="0056715D">
        <w:rPr>
          <w:b w:val="0"/>
        </w:rPr>
        <w:t xml:space="preserve"> </w:t>
      </w:r>
      <w:r w:rsidR="00007930">
        <w:rPr>
          <w:b w:val="0"/>
        </w:rPr>
        <w:t xml:space="preserve">and </w:t>
      </w:r>
      <w:r w:rsidR="0056715D">
        <w:rPr>
          <w:b w:val="0"/>
        </w:rPr>
        <w:t>a</w:t>
      </w:r>
      <w:r w:rsidR="00D23B41">
        <w:rPr>
          <w:b w:val="0"/>
        </w:rPr>
        <w:t>n</w:t>
      </w:r>
      <w:r w:rsidR="0056715D">
        <w:rPr>
          <w:b w:val="0"/>
        </w:rPr>
        <w:t xml:space="preserve"> </w:t>
      </w:r>
      <w:r w:rsidR="00007930">
        <w:rPr>
          <w:b w:val="0"/>
        </w:rPr>
        <w:t>economic activity variable</w:t>
      </w:r>
      <w:r w:rsidRPr="00FA78E1">
        <w:rPr>
          <w:b w:val="0"/>
        </w:rPr>
        <w:t xml:space="preserve">. </w:t>
      </w:r>
      <w:r w:rsidR="008877D8">
        <w:rPr>
          <w:b w:val="0"/>
        </w:rPr>
        <w:t>The monthly weather interaction variables</w:t>
      </w:r>
      <w:r w:rsidR="00463AA8">
        <w:rPr>
          <w:b w:val="0"/>
        </w:rPr>
        <w:t xml:space="preserve"> are calculated by multiplying the</w:t>
      </w:r>
      <w:r w:rsidR="008877D8">
        <w:rPr>
          <w:b w:val="0"/>
        </w:rPr>
        <w:t xml:space="preserve"> CDH</w:t>
      </w:r>
      <w:r w:rsidR="008877D8" w:rsidRPr="00FA78E1">
        <w:rPr>
          <w:b w:val="0"/>
        </w:rPr>
        <w:t xml:space="preserve"> </w:t>
      </w:r>
      <w:r w:rsidR="008877D8">
        <w:rPr>
          <w:b w:val="0"/>
        </w:rPr>
        <w:t xml:space="preserve">per billing day </w:t>
      </w:r>
      <w:r w:rsidR="008877D8" w:rsidRPr="00FA78E1">
        <w:rPr>
          <w:b w:val="0"/>
        </w:rPr>
        <w:t xml:space="preserve">and </w:t>
      </w:r>
      <w:r w:rsidR="008877D8">
        <w:rPr>
          <w:b w:val="0"/>
        </w:rPr>
        <w:t>HDH</w:t>
      </w:r>
      <w:r w:rsidR="008877D8" w:rsidRPr="00FA78E1">
        <w:rPr>
          <w:b w:val="0"/>
        </w:rPr>
        <w:t xml:space="preserve"> </w:t>
      </w:r>
      <w:r w:rsidR="008877D8">
        <w:rPr>
          <w:b w:val="0"/>
        </w:rPr>
        <w:t xml:space="preserve">per billing day </w:t>
      </w:r>
      <w:r w:rsidR="00E73106">
        <w:rPr>
          <w:b w:val="0"/>
        </w:rPr>
        <w:t xml:space="preserve">variables </w:t>
      </w:r>
      <w:r w:rsidR="008877D8" w:rsidRPr="00FA78E1">
        <w:rPr>
          <w:b w:val="0"/>
        </w:rPr>
        <w:t xml:space="preserve">with </w:t>
      </w:r>
      <w:r w:rsidR="008877D8">
        <w:rPr>
          <w:b w:val="0"/>
        </w:rPr>
        <w:t>monthly binary</w:t>
      </w:r>
      <w:r w:rsidR="008877D8" w:rsidRPr="00FA78E1">
        <w:rPr>
          <w:b w:val="0"/>
        </w:rPr>
        <w:t xml:space="preserve"> variables</w:t>
      </w:r>
      <w:r w:rsidR="00463AA8">
        <w:rPr>
          <w:b w:val="0"/>
        </w:rPr>
        <w:t xml:space="preserve">. This helps </w:t>
      </w:r>
      <w:r w:rsidR="008877D8" w:rsidRPr="00FA78E1">
        <w:rPr>
          <w:b w:val="0"/>
        </w:rPr>
        <w:t xml:space="preserve">distinguish </w:t>
      </w:r>
      <w:r w:rsidR="00463AA8">
        <w:rPr>
          <w:b w:val="0"/>
        </w:rPr>
        <w:t>the</w:t>
      </w:r>
      <w:r w:rsidR="008877D8" w:rsidRPr="00FA78E1">
        <w:rPr>
          <w:b w:val="0"/>
        </w:rPr>
        <w:t xml:space="preserve"> impact</w:t>
      </w:r>
      <w:r w:rsidR="00463AA8">
        <w:rPr>
          <w:b w:val="0"/>
        </w:rPr>
        <w:t xml:space="preserve"> of HDH and CDH </w:t>
      </w:r>
      <w:r w:rsidR="008877D8" w:rsidRPr="00FA78E1">
        <w:rPr>
          <w:b w:val="0"/>
        </w:rPr>
        <w:t xml:space="preserve">on the </w:t>
      </w:r>
      <w:r w:rsidR="00463AA8">
        <w:rPr>
          <w:b w:val="0"/>
        </w:rPr>
        <w:t>commerc</w:t>
      </w:r>
      <w:r w:rsidR="008877D8" w:rsidRPr="00FA78E1">
        <w:rPr>
          <w:b w:val="0"/>
        </w:rPr>
        <w:t>ial class at various times of the year.</w:t>
      </w:r>
      <w:r w:rsidR="006D26FE">
        <w:rPr>
          <w:b w:val="0"/>
        </w:rPr>
        <w:t xml:space="preserve"> </w:t>
      </w:r>
      <w:r w:rsidR="00007930">
        <w:rPr>
          <w:b w:val="0"/>
        </w:rPr>
        <w:t xml:space="preserve">The variable used as a proxy for economic activity is real GSP for </w:t>
      </w:r>
      <w:r w:rsidR="00DD191A">
        <w:rPr>
          <w:b w:val="0"/>
        </w:rPr>
        <w:t xml:space="preserve">the </w:t>
      </w:r>
      <w:r w:rsidR="00491FD5">
        <w:rPr>
          <w:b w:val="0"/>
        </w:rPr>
        <w:t xml:space="preserve">commercial </w:t>
      </w:r>
      <w:r w:rsidR="00DD191A">
        <w:rPr>
          <w:b w:val="0"/>
        </w:rPr>
        <w:t>sector of Georgia’s economy.</w:t>
      </w:r>
      <w:r w:rsidR="00007930">
        <w:rPr>
          <w:b w:val="0"/>
        </w:rPr>
        <w:t xml:space="preserve"> </w:t>
      </w:r>
      <w:r w:rsidR="00DD191A">
        <w:rPr>
          <w:b w:val="0"/>
        </w:rPr>
        <w:t>This includes segments such as retail, education, office, and business services, to name a few.</w:t>
      </w:r>
      <w:r w:rsidR="00616255">
        <w:rPr>
          <w:b w:val="0"/>
        </w:rPr>
        <w:t xml:space="preserve"> </w:t>
      </w:r>
    </w:p>
    <w:p w14:paraId="4CB2BDF4" w14:textId="77777777" w:rsidR="00FA78E1" w:rsidRDefault="00FA78E1" w:rsidP="008B1036">
      <w:pPr>
        <w:pStyle w:val="BodyText"/>
        <w:spacing w:after="0" w:line="360" w:lineRule="auto"/>
        <w:jc w:val="both"/>
        <w:rPr>
          <w:b w:val="0"/>
        </w:rPr>
      </w:pPr>
    </w:p>
    <w:p w14:paraId="002E11D6" w14:textId="21391639" w:rsidR="00FA78E1" w:rsidRDefault="00B509F9" w:rsidP="00B509F9">
      <w:pPr>
        <w:pStyle w:val="BodyText"/>
        <w:spacing w:line="360" w:lineRule="auto"/>
        <w:jc w:val="both"/>
        <w:rPr>
          <w:b w:val="0"/>
        </w:rPr>
      </w:pPr>
      <w:r w:rsidRPr="00FA78E1">
        <w:rPr>
          <w:b w:val="0"/>
        </w:rPr>
        <w:t xml:space="preserve">The forecast of </w:t>
      </w:r>
      <w:r>
        <w:rPr>
          <w:b w:val="0"/>
        </w:rPr>
        <w:t>commerc</w:t>
      </w:r>
      <w:r w:rsidRPr="00FA78E1">
        <w:rPr>
          <w:b w:val="0"/>
        </w:rPr>
        <w:t xml:space="preserve">ial </w:t>
      </w:r>
      <w:r>
        <w:rPr>
          <w:b w:val="0"/>
        </w:rPr>
        <w:t xml:space="preserve">energy sales per </w:t>
      </w:r>
      <w:r w:rsidR="00B86710">
        <w:rPr>
          <w:b w:val="0"/>
        </w:rPr>
        <w:t xml:space="preserve">customer per </w:t>
      </w:r>
      <w:r>
        <w:rPr>
          <w:b w:val="0"/>
        </w:rPr>
        <w:t>billing day</w:t>
      </w:r>
      <w:r w:rsidRPr="00FA78E1">
        <w:rPr>
          <w:b w:val="0"/>
        </w:rPr>
        <w:t xml:space="preserve"> is multiplied by </w:t>
      </w:r>
      <w:r>
        <w:rPr>
          <w:b w:val="0"/>
        </w:rPr>
        <w:t xml:space="preserve">the forecasted number of </w:t>
      </w:r>
      <w:r w:rsidR="00B86710">
        <w:rPr>
          <w:b w:val="0"/>
        </w:rPr>
        <w:t xml:space="preserve">customers and </w:t>
      </w:r>
      <w:r>
        <w:rPr>
          <w:b w:val="0"/>
        </w:rPr>
        <w:t xml:space="preserve">billing days </w:t>
      </w:r>
      <w:r w:rsidRPr="00FA78E1">
        <w:rPr>
          <w:b w:val="0"/>
        </w:rPr>
        <w:t xml:space="preserve">to get </w:t>
      </w:r>
      <w:r w:rsidR="00C073D1">
        <w:rPr>
          <w:b w:val="0"/>
        </w:rPr>
        <w:t xml:space="preserve">total </w:t>
      </w:r>
      <w:r w:rsidRPr="00FA78E1">
        <w:rPr>
          <w:b w:val="0"/>
        </w:rPr>
        <w:t xml:space="preserve">forecasted </w:t>
      </w:r>
      <w:r>
        <w:rPr>
          <w:b w:val="0"/>
        </w:rPr>
        <w:t xml:space="preserve">commercial billed </w:t>
      </w:r>
      <w:r w:rsidRPr="00FA78E1">
        <w:rPr>
          <w:b w:val="0"/>
        </w:rPr>
        <w:t xml:space="preserve">energy sales. </w:t>
      </w:r>
      <w:r w:rsidR="00FA78E1" w:rsidRPr="00FA78E1">
        <w:rPr>
          <w:b w:val="0"/>
        </w:rPr>
        <w:t xml:space="preserve">A summary of parameter estimates and statistics for the short-term commercial energy model </w:t>
      </w:r>
      <w:r w:rsidR="002F710D">
        <w:rPr>
          <w:b w:val="0"/>
        </w:rPr>
        <w:t>is</w:t>
      </w:r>
      <w:r w:rsidR="00FA78E1" w:rsidRPr="00FA78E1">
        <w:rPr>
          <w:b w:val="0"/>
        </w:rPr>
        <w:t xml:space="preserve"> found in Table 4.1.2-1.</w:t>
      </w:r>
      <w:r w:rsidR="00007930">
        <w:rPr>
          <w:b w:val="0"/>
        </w:rPr>
        <w:t xml:space="preserve"> </w:t>
      </w:r>
      <w:r w:rsidR="00007930" w:rsidRPr="00FA78E1">
        <w:rPr>
          <w:b w:val="0"/>
        </w:rPr>
        <w:t xml:space="preserve">The </w:t>
      </w:r>
      <w:r w:rsidR="00007930">
        <w:rPr>
          <w:b w:val="0"/>
        </w:rPr>
        <w:t>commercial</w:t>
      </w:r>
      <w:r w:rsidR="00007930" w:rsidRPr="00FA78E1">
        <w:rPr>
          <w:b w:val="0"/>
        </w:rPr>
        <w:t xml:space="preserve"> customer forecast is presented in </w:t>
      </w:r>
      <w:r w:rsidR="00007930">
        <w:rPr>
          <w:b w:val="0"/>
        </w:rPr>
        <w:t>S</w:t>
      </w:r>
      <w:r w:rsidR="00007930" w:rsidRPr="00FA78E1">
        <w:rPr>
          <w:b w:val="0"/>
        </w:rPr>
        <w:t>ection 4.2.</w:t>
      </w:r>
      <w:r w:rsidR="000620FA">
        <w:rPr>
          <w:b w:val="0"/>
        </w:rPr>
        <w:t>2</w:t>
      </w:r>
      <w:r w:rsidR="00007930" w:rsidRPr="00FA78E1">
        <w:rPr>
          <w:b w:val="0"/>
        </w:rPr>
        <w:t>.</w:t>
      </w:r>
    </w:p>
    <w:p w14:paraId="026EEA34" w14:textId="77777777" w:rsidR="00FA78E1" w:rsidRDefault="00FA78E1" w:rsidP="00FA78E1">
      <w:pPr>
        <w:pStyle w:val="BodyText2"/>
        <w:spacing w:line="360" w:lineRule="auto"/>
        <w:jc w:val="left"/>
        <w:rPr>
          <w:b w:val="0"/>
        </w:rPr>
      </w:pPr>
    </w:p>
    <w:p w14:paraId="741B8DDA" w14:textId="1142BA0F" w:rsidR="00FA78E1" w:rsidRDefault="00FA78E1" w:rsidP="005E0B9B">
      <w:pPr>
        <w:pStyle w:val="BodyText2"/>
        <w:keepNext/>
        <w:widowControl w:val="0"/>
        <w:spacing w:line="360" w:lineRule="auto"/>
        <w:jc w:val="left"/>
      </w:pPr>
      <w:r w:rsidRPr="00FA78E1">
        <w:lastRenderedPageBreak/>
        <w:t xml:space="preserve">Table 4.1.2-1: </w:t>
      </w:r>
      <w:r w:rsidRPr="00B66236">
        <w:t xml:space="preserve">Commercial </w:t>
      </w:r>
      <w:r w:rsidR="0022134D">
        <w:t>Use per Customer</w:t>
      </w:r>
      <w:r w:rsidR="00F7209D" w:rsidRPr="00B66236">
        <w:t xml:space="preserve"> per Billing Day</w:t>
      </w:r>
    </w:p>
    <w:p w14:paraId="601DDEEA" w14:textId="450311CF" w:rsidR="00017F25" w:rsidRPr="00017F25" w:rsidRDefault="003B0026" w:rsidP="005E0B9B">
      <w:pPr>
        <w:pStyle w:val="BodyTextIndent"/>
        <w:keepNext/>
        <w:keepLines/>
        <w:widowControl w:val="0"/>
        <w:spacing w:after="0"/>
        <w:ind w:left="0"/>
        <w:rPr>
          <w:b/>
        </w:rPr>
      </w:pPr>
      <w:r>
        <w:rPr>
          <w:b/>
        </w:rPr>
        <w:t xml:space="preserve">Commercial </w:t>
      </w:r>
      <w:r w:rsidR="00017F25" w:rsidRPr="00017F25">
        <w:rPr>
          <w:b/>
        </w:rPr>
        <w:t>Short-Term Model</w:t>
      </w:r>
    </w:p>
    <w:p w14:paraId="74FDA539" w14:textId="76BF4C5B" w:rsidR="00017F25" w:rsidRDefault="00017F25" w:rsidP="005E0B9B">
      <w:pPr>
        <w:pStyle w:val="BodyTextIndent"/>
        <w:keepNext/>
        <w:keepLines/>
        <w:widowControl w:val="0"/>
        <w:spacing w:after="0"/>
        <w:ind w:left="0"/>
        <w:rPr>
          <w:b/>
        </w:rPr>
      </w:pPr>
      <w:r w:rsidRPr="00017F25">
        <w:rPr>
          <w:b/>
        </w:rPr>
        <w:t xml:space="preserve">Budget </w:t>
      </w:r>
      <w:r w:rsidR="00F21567" w:rsidRPr="00017F25">
        <w:rPr>
          <w:b/>
        </w:rPr>
        <w:t>20</w:t>
      </w:r>
      <w:r w:rsidR="00F21567">
        <w:rPr>
          <w:b/>
        </w:rPr>
        <w:t>25</w:t>
      </w:r>
    </w:p>
    <w:p w14:paraId="41B88354" w14:textId="5DFF35C1" w:rsidR="00017F25" w:rsidRDefault="00017F25" w:rsidP="005E0B9B">
      <w:pPr>
        <w:pStyle w:val="BodyTextIndent"/>
        <w:keepNext/>
        <w:keepLines/>
        <w:widowControl w:val="0"/>
        <w:spacing w:after="0"/>
        <w:ind w:left="0"/>
      </w:pPr>
    </w:p>
    <w:p w14:paraId="26E17D08" w14:textId="3644595E" w:rsidR="001B3C78" w:rsidRDefault="00E73106" w:rsidP="005E0B9B">
      <w:pPr>
        <w:pStyle w:val="BodyTextIndent"/>
        <w:keepNext/>
        <w:keepLines/>
        <w:widowControl w:val="0"/>
        <w:spacing w:after="0"/>
        <w:ind w:left="0"/>
        <w:rPr>
          <w:b/>
        </w:rPr>
      </w:pPr>
      <w:r w:rsidRPr="00E73106">
        <w:rPr>
          <w:b/>
        </w:rPr>
        <w:t xml:space="preserve"> </w:t>
      </w:r>
      <w:r w:rsidR="00083790" w:rsidRPr="00083790">
        <w:rPr>
          <w:b/>
          <w:noProof/>
        </w:rPr>
        <w:drawing>
          <wp:inline distT="0" distB="0" distL="0" distR="0" wp14:anchorId="44C8A4D5" wp14:editId="5A9A8939">
            <wp:extent cx="4486910" cy="4157345"/>
            <wp:effectExtent l="0" t="0" r="8890" b="0"/>
            <wp:docPr id="10809780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86910" cy="4157345"/>
                    </a:xfrm>
                    <a:prstGeom prst="rect">
                      <a:avLst/>
                    </a:prstGeom>
                    <a:noFill/>
                    <a:ln>
                      <a:noFill/>
                    </a:ln>
                  </pic:spPr>
                </pic:pic>
              </a:graphicData>
            </a:graphic>
          </wp:inline>
        </w:drawing>
      </w:r>
    </w:p>
    <w:p w14:paraId="22BE0D53" w14:textId="55A129D7" w:rsidR="00D30BF2" w:rsidRDefault="00D30BF2" w:rsidP="005E0B9B">
      <w:pPr>
        <w:pStyle w:val="BodyTextIndent"/>
        <w:keepNext/>
        <w:keepLines/>
        <w:widowControl w:val="0"/>
        <w:spacing w:after="0"/>
        <w:ind w:left="0"/>
      </w:pPr>
    </w:p>
    <w:p w14:paraId="5E92FEA9" w14:textId="21EDB8E9" w:rsidR="00653602" w:rsidRDefault="00653602" w:rsidP="005E0B9B">
      <w:pPr>
        <w:pStyle w:val="BodyText2"/>
        <w:keepNext/>
        <w:keepLines/>
        <w:widowControl w:val="0"/>
        <w:spacing w:line="360" w:lineRule="auto"/>
      </w:pPr>
    </w:p>
    <w:p w14:paraId="48408EBB" w14:textId="77777777" w:rsidR="00653602" w:rsidRDefault="00653602" w:rsidP="00653602">
      <w:pPr>
        <w:pStyle w:val="BodyText2"/>
        <w:spacing w:line="360" w:lineRule="auto"/>
        <w:jc w:val="left"/>
      </w:pPr>
    </w:p>
    <w:p w14:paraId="623820DB" w14:textId="77795224" w:rsidR="00653602" w:rsidRDefault="00C93F6F" w:rsidP="00AC2049">
      <w:pPr>
        <w:pStyle w:val="BodyText2"/>
        <w:keepNext/>
        <w:spacing w:line="360" w:lineRule="auto"/>
        <w:jc w:val="left"/>
      </w:pPr>
      <w:r w:rsidRPr="00784020">
        <w:lastRenderedPageBreak/>
        <w:t>Where:</w:t>
      </w:r>
      <w:bookmarkStart w:id="277" w:name="_Toc347120385"/>
    </w:p>
    <w:p w14:paraId="22898D0A" w14:textId="77777777" w:rsidR="001B3C78" w:rsidRDefault="00D014D6" w:rsidP="00AC2049">
      <w:pPr>
        <w:pStyle w:val="BodyText2"/>
        <w:keepNext/>
        <w:spacing w:line="360" w:lineRule="auto"/>
        <w:jc w:val="left"/>
      </w:pPr>
      <w:r w:rsidRPr="00D014D6">
        <w:rPr>
          <w:noProof/>
        </w:rPr>
        <w:drawing>
          <wp:inline distT="0" distB="0" distL="0" distR="0" wp14:anchorId="3C7F9D0E" wp14:editId="7C823689">
            <wp:extent cx="5943600" cy="3368675"/>
            <wp:effectExtent l="0" t="0" r="0" b="3175"/>
            <wp:docPr id="176258797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43600" cy="3368675"/>
                    </a:xfrm>
                    <a:prstGeom prst="rect">
                      <a:avLst/>
                    </a:prstGeom>
                    <a:noFill/>
                    <a:ln>
                      <a:noFill/>
                    </a:ln>
                  </pic:spPr>
                </pic:pic>
              </a:graphicData>
            </a:graphic>
          </wp:inline>
        </w:drawing>
      </w:r>
    </w:p>
    <w:p w14:paraId="1E515631" w14:textId="77777777" w:rsidR="00653602" w:rsidRDefault="00653602" w:rsidP="00653602">
      <w:pPr>
        <w:pStyle w:val="BodyText2"/>
        <w:spacing w:line="360" w:lineRule="auto"/>
      </w:pPr>
    </w:p>
    <w:p w14:paraId="3164471B" w14:textId="77777777" w:rsidR="00FA78E1" w:rsidRPr="00653602" w:rsidRDefault="00FA78E1" w:rsidP="00653602">
      <w:pPr>
        <w:pStyle w:val="Heading2"/>
        <w:jc w:val="left"/>
        <w:rPr>
          <w:rFonts w:ascii="Arial" w:hAnsi="Arial" w:cs="Arial"/>
          <w:b/>
          <w:color w:val="auto"/>
          <w:sz w:val="20"/>
          <w:szCs w:val="20"/>
        </w:rPr>
      </w:pPr>
      <w:bookmarkStart w:id="278" w:name="_Toc188257139"/>
      <w:bookmarkStart w:id="279" w:name="_Toc188257354"/>
      <w:bookmarkStart w:id="280" w:name="_Toc188257578"/>
      <w:bookmarkStart w:id="281" w:name="_Toc189162587"/>
      <w:r w:rsidRPr="00E21AC3">
        <w:rPr>
          <w:rFonts w:ascii="Arial" w:hAnsi="Arial" w:cs="Arial"/>
          <w:b/>
          <w:color w:val="auto"/>
          <w:sz w:val="20"/>
          <w:szCs w:val="20"/>
        </w:rPr>
        <w:t>4.1.3</w:t>
      </w:r>
      <w:r w:rsidRPr="00E21AC3">
        <w:rPr>
          <w:rFonts w:ascii="Arial" w:hAnsi="Arial" w:cs="Arial"/>
          <w:b/>
          <w:color w:val="auto"/>
          <w:sz w:val="20"/>
          <w:szCs w:val="20"/>
        </w:rPr>
        <w:tab/>
        <w:t>Industrial Sales</w:t>
      </w:r>
      <w:bookmarkEnd w:id="277"/>
      <w:bookmarkEnd w:id="278"/>
      <w:bookmarkEnd w:id="279"/>
      <w:bookmarkEnd w:id="280"/>
      <w:bookmarkEnd w:id="281"/>
      <w:r w:rsidRPr="00653602">
        <w:rPr>
          <w:rFonts w:ascii="Arial" w:hAnsi="Arial" w:cs="Arial"/>
          <w:b/>
          <w:color w:val="auto"/>
          <w:sz w:val="20"/>
          <w:szCs w:val="20"/>
        </w:rPr>
        <w:t xml:space="preserve"> </w:t>
      </w:r>
    </w:p>
    <w:p w14:paraId="6F089E36" w14:textId="77777777" w:rsidR="00E21AC3" w:rsidRDefault="00E21AC3" w:rsidP="00E21AC3">
      <w:pPr>
        <w:pStyle w:val="BodyText"/>
        <w:jc w:val="left"/>
        <w:rPr>
          <w:b w:val="0"/>
        </w:rPr>
      </w:pPr>
    </w:p>
    <w:p w14:paraId="595E5B75" w14:textId="750F5A6B" w:rsidR="00E979EB" w:rsidRPr="00E21AC3" w:rsidRDefault="00FA78E1">
      <w:pPr>
        <w:pStyle w:val="BodyText"/>
        <w:jc w:val="left"/>
        <w:rPr>
          <w:b w:val="0"/>
        </w:rPr>
      </w:pPr>
      <w:r w:rsidRPr="00E21AC3">
        <w:rPr>
          <w:b w:val="0"/>
        </w:rPr>
        <w:t xml:space="preserve">The model of energy sales </w:t>
      </w:r>
      <w:r w:rsidR="002F710D">
        <w:rPr>
          <w:b w:val="0"/>
        </w:rPr>
        <w:t>for</w:t>
      </w:r>
      <w:r w:rsidR="002F710D" w:rsidRPr="00E21AC3">
        <w:rPr>
          <w:b w:val="0"/>
        </w:rPr>
        <w:t xml:space="preserve"> </w:t>
      </w:r>
      <w:r w:rsidRPr="00E21AC3">
        <w:rPr>
          <w:b w:val="0"/>
        </w:rPr>
        <w:t>the industrial class depends on the following factors:</w:t>
      </w:r>
    </w:p>
    <w:p w14:paraId="60210C5F" w14:textId="77777777" w:rsidR="00E979EB" w:rsidRDefault="00E979EB" w:rsidP="00F97CB4">
      <w:pPr>
        <w:pStyle w:val="ListBullet4"/>
      </w:pPr>
    </w:p>
    <w:p w14:paraId="00420C1C" w14:textId="795229F8" w:rsidR="00FA78E1" w:rsidRPr="003A3426" w:rsidRDefault="00FA78E1" w:rsidP="00BC7C3C">
      <w:pPr>
        <w:pStyle w:val="ListBullet4"/>
      </w:pPr>
      <w:r w:rsidRPr="003A3426">
        <w:t>Weather</w:t>
      </w:r>
    </w:p>
    <w:p w14:paraId="29618461" w14:textId="261F77F2" w:rsidR="00BE582F" w:rsidRPr="003A3426" w:rsidRDefault="00BE582F" w:rsidP="00BE582F">
      <w:pPr>
        <w:pStyle w:val="ListBullet4"/>
      </w:pPr>
      <w:r w:rsidRPr="00FA78E1">
        <w:t>Numb</w:t>
      </w:r>
      <w:r>
        <w:t>er of calendar days in the month</w:t>
      </w:r>
    </w:p>
    <w:p w14:paraId="00D74CF7" w14:textId="441D09AB" w:rsidR="00FA78E1" w:rsidRDefault="00F21567" w:rsidP="00BC7C3C">
      <w:pPr>
        <w:pStyle w:val="ListBullet4"/>
      </w:pPr>
      <w:r>
        <w:t>Georgia Industrial Production</w:t>
      </w:r>
    </w:p>
    <w:p w14:paraId="5DA7EB26" w14:textId="77777777" w:rsidR="00FA78E1" w:rsidRPr="00E21AC3" w:rsidRDefault="00FA78E1" w:rsidP="00E21AC3">
      <w:pPr>
        <w:spacing w:line="360" w:lineRule="auto"/>
        <w:jc w:val="left"/>
        <w:rPr>
          <w:b w:val="0"/>
        </w:rPr>
      </w:pPr>
    </w:p>
    <w:p w14:paraId="0DF4FF41" w14:textId="5DF2A151" w:rsidR="00FA78E1" w:rsidRPr="00E21AC3" w:rsidRDefault="00FA78E1" w:rsidP="005E0987">
      <w:pPr>
        <w:pStyle w:val="BodyText"/>
        <w:spacing w:after="0" w:line="360" w:lineRule="auto"/>
        <w:jc w:val="both"/>
        <w:rPr>
          <w:b w:val="0"/>
        </w:rPr>
      </w:pPr>
      <w:r w:rsidRPr="00E21AC3">
        <w:rPr>
          <w:b w:val="0"/>
        </w:rPr>
        <w:t xml:space="preserve">Industrial energy </w:t>
      </w:r>
      <w:r w:rsidR="00BE582F">
        <w:rPr>
          <w:b w:val="0"/>
        </w:rPr>
        <w:t xml:space="preserve">use </w:t>
      </w:r>
      <w:r w:rsidR="00A76664">
        <w:rPr>
          <w:b w:val="0"/>
        </w:rPr>
        <w:t xml:space="preserve">per </w:t>
      </w:r>
      <w:r w:rsidR="00BE582F">
        <w:rPr>
          <w:b w:val="0"/>
        </w:rPr>
        <w:t xml:space="preserve">calendar </w:t>
      </w:r>
      <w:r w:rsidR="00A76664">
        <w:rPr>
          <w:b w:val="0"/>
        </w:rPr>
        <w:t>day</w:t>
      </w:r>
      <w:r w:rsidRPr="00E21AC3">
        <w:rPr>
          <w:b w:val="0"/>
        </w:rPr>
        <w:t xml:space="preserve"> (MWh) </w:t>
      </w:r>
      <w:r w:rsidR="00382435">
        <w:rPr>
          <w:b w:val="0"/>
        </w:rPr>
        <w:t>is</w:t>
      </w:r>
      <w:r w:rsidR="00382435" w:rsidRPr="00E21AC3">
        <w:rPr>
          <w:b w:val="0"/>
        </w:rPr>
        <w:t xml:space="preserve"> </w:t>
      </w:r>
      <w:r w:rsidRPr="00E21AC3">
        <w:rPr>
          <w:b w:val="0"/>
        </w:rPr>
        <w:t>projected using a</w:t>
      </w:r>
      <w:r w:rsidR="00BE582F">
        <w:rPr>
          <w:b w:val="0"/>
        </w:rPr>
        <w:t>n</w:t>
      </w:r>
      <w:r w:rsidRPr="00E21AC3">
        <w:rPr>
          <w:b w:val="0"/>
        </w:rPr>
        <w:t xml:space="preserve"> econometric regression model with independent variables that capture the impacts of varying weather conditions</w:t>
      </w:r>
      <w:r w:rsidR="00156502">
        <w:rPr>
          <w:b w:val="0"/>
        </w:rPr>
        <w:t xml:space="preserve"> and the </w:t>
      </w:r>
      <w:r w:rsidR="00156502" w:rsidRPr="00E21AC3">
        <w:rPr>
          <w:b w:val="0"/>
        </w:rPr>
        <w:t>econom</w:t>
      </w:r>
      <w:r w:rsidR="00156502">
        <w:rPr>
          <w:b w:val="0"/>
        </w:rPr>
        <w:t>y</w:t>
      </w:r>
      <w:r w:rsidRPr="00E21AC3">
        <w:rPr>
          <w:b w:val="0"/>
        </w:rPr>
        <w:t>.</w:t>
      </w:r>
    </w:p>
    <w:p w14:paraId="0AF10A0D" w14:textId="77777777" w:rsidR="00FA78E1" w:rsidRPr="00E21AC3" w:rsidRDefault="00FA78E1" w:rsidP="008B1036">
      <w:pPr>
        <w:pStyle w:val="BodyText"/>
        <w:spacing w:after="0" w:line="360" w:lineRule="auto"/>
        <w:jc w:val="both"/>
        <w:rPr>
          <w:b w:val="0"/>
        </w:rPr>
      </w:pPr>
    </w:p>
    <w:p w14:paraId="5C1B595B" w14:textId="402386DA" w:rsidR="00FA78E1" w:rsidRDefault="00A961E6" w:rsidP="005E0987">
      <w:pPr>
        <w:pStyle w:val="BodyText"/>
        <w:spacing w:after="0" w:line="360" w:lineRule="auto"/>
        <w:jc w:val="both"/>
        <w:rPr>
          <w:b w:val="0"/>
        </w:rPr>
      </w:pPr>
      <w:r>
        <w:rPr>
          <w:b w:val="0"/>
        </w:rPr>
        <w:t>The industrial class is</w:t>
      </w:r>
      <w:r w:rsidR="00FA78E1" w:rsidRPr="00E21AC3">
        <w:rPr>
          <w:b w:val="0"/>
        </w:rPr>
        <w:t xml:space="preserve"> not as weather sensitive as </w:t>
      </w:r>
      <w:r w:rsidR="0009029D">
        <w:rPr>
          <w:b w:val="0"/>
        </w:rPr>
        <w:t xml:space="preserve">the </w:t>
      </w:r>
      <w:r w:rsidR="00FA78E1" w:rsidRPr="00E21AC3">
        <w:rPr>
          <w:b w:val="0"/>
        </w:rPr>
        <w:t xml:space="preserve">commercial </w:t>
      </w:r>
      <w:r w:rsidR="00780DAD">
        <w:rPr>
          <w:b w:val="0"/>
        </w:rPr>
        <w:t>or</w:t>
      </w:r>
      <w:r w:rsidR="00FA78E1" w:rsidRPr="00E21AC3">
        <w:rPr>
          <w:b w:val="0"/>
        </w:rPr>
        <w:t xml:space="preserve"> residential class</w:t>
      </w:r>
      <w:r w:rsidR="00780DAD">
        <w:rPr>
          <w:b w:val="0"/>
        </w:rPr>
        <w:t>es</w:t>
      </w:r>
      <w:r>
        <w:rPr>
          <w:b w:val="0"/>
        </w:rPr>
        <w:t xml:space="preserve">. Only </w:t>
      </w:r>
      <w:r w:rsidR="00BE582F">
        <w:rPr>
          <w:b w:val="0"/>
        </w:rPr>
        <w:t>CDH</w:t>
      </w:r>
      <w:r w:rsidR="00BE582F" w:rsidRPr="00E21AC3">
        <w:rPr>
          <w:b w:val="0"/>
        </w:rPr>
        <w:t xml:space="preserve"> </w:t>
      </w:r>
      <w:r w:rsidR="00FA78E1" w:rsidRPr="00E21AC3">
        <w:rPr>
          <w:b w:val="0"/>
        </w:rPr>
        <w:t xml:space="preserve">are used to measure the impact of weather on monthly industrial energy sales. </w:t>
      </w:r>
      <w:r w:rsidR="00D72D7C">
        <w:rPr>
          <w:b w:val="0"/>
        </w:rPr>
        <w:t xml:space="preserve">HDH do not significantly impact industrial </w:t>
      </w:r>
      <w:r w:rsidR="004E287E">
        <w:rPr>
          <w:b w:val="0"/>
        </w:rPr>
        <w:t>sales and</w:t>
      </w:r>
      <w:r w:rsidR="00D72D7C">
        <w:rPr>
          <w:b w:val="0"/>
        </w:rPr>
        <w:t xml:space="preserve"> are </w:t>
      </w:r>
      <w:r>
        <w:rPr>
          <w:b w:val="0"/>
        </w:rPr>
        <w:t xml:space="preserve">thus </w:t>
      </w:r>
      <w:r w:rsidR="00D72D7C">
        <w:rPr>
          <w:b w:val="0"/>
        </w:rPr>
        <w:t xml:space="preserve">not used in the </w:t>
      </w:r>
      <w:r w:rsidR="00156502">
        <w:rPr>
          <w:b w:val="0"/>
        </w:rPr>
        <w:t xml:space="preserve">short-term </w:t>
      </w:r>
      <w:r w:rsidR="00D72D7C">
        <w:rPr>
          <w:b w:val="0"/>
        </w:rPr>
        <w:t xml:space="preserve">forecast model. </w:t>
      </w:r>
      <w:r w:rsidR="00FC14E0">
        <w:rPr>
          <w:b w:val="0"/>
        </w:rPr>
        <w:t xml:space="preserve">Industrial </w:t>
      </w:r>
      <w:r w:rsidR="00623C06" w:rsidRPr="0019062C">
        <w:rPr>
          <w:b w:val="0"/>
        </w:rPr>
        <w:t>CD</w:t>
      </w:r>
      <w:r w:rsidR="00382435" w:rsidRPr="0019062C">
        <w:rPr>
          <w:b w:val="0"/>
        </w:rPr>
        <w:t>H</w:t>
      </w:r>
      <w:r w:rsidR="00FA78E1" w:rsidRPr="0019062C">
        <w:rPr>
          <w:b w:val="0"/>
        </w:rPr>
        <w:t xml:space="preserve"> are computed using a </w:t>
      </w:r>
      <w:r w:rsidR="00156502">
        <w:rPr>
          <w:b w:val="0"/>
        </w:rPr>
        <w:t>6</w:t>
      </w:r>
      <w:r w:rsidR="00156502" w:rsidRPr="0019062C">
        <w:rPr>
          <w:b w:val="0"/>
        </w:rPr>
        <w:t>9</w:t>
      </w:r>
      <w:r w:rsidR="00B947F1" w:rsidRPr="0019062C">
        <w:rPr>
          <w:b w:val="0"/>
        </w:rPr>
        <w:t>°</w:t>
      </w:r>
      <w:r w:rsidR="00FA78E1" w:rsidRPr="0019062C">
        <w:rPr>
          <w:b w:val="0"/>
        </w:rPr>
        <w:t>F threshold.</w:t>
      </w:r>
      <w:r w:rsidR="00FA78E1" w:rsidRPr="00E21AC3">
        <w:rPr>
          <w:b w:val="0"/>
        </w:rPr>
        <w:t xml:space="preserve"> The</w:t>
      </w:r>
      <w:r w:rsidR="002B7982">
        <w:rPr>
          <w:b w:val="0"/>
        </w:rPr>
        <w:t xml:space="preserve"> CDH</w:t>
      </w:r>
      <w:r w:rsidR="00FA78E1" w:rsidRPr="00E21AC3">
        <w:rPr>
          <w:b w:val="0"/>
        </w:rPr>
        <w:t xml:space="preserve"> are averaged over </w:t>
      </w:r>
      <w:r w:rsidR="00BE582F">
        <w:rPr>
          <w:b w:val="0"/>
        </w:rPr>
        <w:t>t</w:t>
      </w:r>
      <w:r w:rsidR="00BE582F" w:rsidRPr="00E21AC3">
        <w:rPr>
          <w:b w:val="0"/>
        </w:rPr>
        <w:t xml:space="preserve">en </w:t>
      </w:r>
      <w:r w:rsidR="00D23B41">
        <w:rPr>
          <w:b w:val="0"/>
        </w:rPr>
        <w:t>National Weather Service</w:t>
      </w:r>
      <w:r w:rsidR="00D23B41" w:rsidRPr="00E21AC3" w:rsidDel="00D23B41">
        <w:rPr>
          <w:b w:val="0"/>
        </w:rPr>
        <w:t xml:space="preserve"> </w:t>
      </w:r>
      <w:r w:rsidR="00FA78E1" w:rsidRPr="00E21AC3">
        <w:rPr>
          <w:b w:val="0"/>
        </w:rPr>
        <w:t xml:space="preserve">stations, and the temperatures at the weather stations are weighted by the industrial energy use in the Georgia Power regions that are mapped to the </w:t>
      </w:r>
      <w:r w:rsidR="00BE582F">
        <w:rPr>
          <w:b w:val="0"/>
        </w:rPr>
        <w:t>t</w:t>
      </w:r>
      <w:r w:rsidR="00FA78E1" w:rsidRPr="00E21AC3">
        <w:rPr>
          <w:b w:val="0"/>
        </w:rPr>
        <w:t>en weather stations.</w:t>
      </w:r>
    </w:p>
    <w:p w14:paraId="074B0C63" w14:textId="77777777" w:rsidR="00FC14E0" w:rsidRDefault="00FC14E0" w:rsidP="00F73E00">
      <w:pPr>
        <w:pStyle w:val="BodyText"/>
        <w:spacing w:after="0" w:line="360" w:lineRule="auto"/>
        <w:jc w:val="both"/>
        <w:rPr>
          <w:b w:val="0"/>
        </w:rPr>
      </w:pPr>
    </w:p>
    <w:p w14:paraId="4D979CE1" w14:textId="00D58097" w:rsidR="00FA78E1" w:rsidRDefault="00FA78E1" w:rsidP="005E0987">
      <w:pPr>
        <w:pStyle w:val="BodyText"/>
        <w:spacing w:after="0" w:line="360" w:lineRule="auto"/>
        <w:jc w:val="both"/>
        <w:rPr>
          <w:b w:val="0"/>
        </w:rPr>
      </w:pPr>
      <w:bookmarkStart w:id="282" w:name="_Hlk90285211"/>
      <w:r w:rsidRPr="00E21AC3">
        <w:rPr>
          <w:b w:val="0"/>
        </w:rPr>
        <w:lastRenderedPageBreak/>
        <w:t>The regression model relates the total monthly industrial energy sales</w:t>
      </w:r>
      <w:r w:rsidR="00B947F1">
        <w:rPr>
          <w:b w:val="0"/>
        </w:rPr>
        <w:t xml:space="preserve"> per </w:t>
      </w:r>
      <w:r w:rsidR="00BE582F">
        <w:rPr>
          <w:b w:val="0"/>
        </w:rPr>
        <w:t>calendar</w:t>
      </w:r>
      <w:r w:rsidR="00B947F1">
        <w:rPr>
          <w:b w:val="0"/>
        </w:rPr>
        <w:t xml:space="preserve"> day</w:t>
      </w:r>
      <w:r w:rsidRPr="00E21AC3">
        <w:rPr>
          <w:b w:val="0"/>
        </w:rPr>
        <w:t xml:space="preserve"> to </w:t>
      </w:r>
      <w:r w:rsidR="00156502">
        <w:rPr>
          <w:b w:val="0"/>
        </w:rPr>
        <w:t>four</w:t>
      </w:r>
      <w:r w:rsidR="00156502" w:rsidRPr="00E21AC3">
        <w:rPr>
          <w:b w:val="0"/>
        </w:rPr>
        <w:t xml:space="preserve"> </w:t>
      </w:r>
      <w:r w:rsidRPr="00E21AC3">
        <w:rPr>
          <w:b w:val="0"/>
        </w:rPr>
        <w:t xml:space="preserve">monthly binary variables, </w:t>
      </w:r>
      <w:r w:rsidR="00156502">
        <w:rPr>
          <w:b w:val="0"/>
        </w:rPr>
        <w:t xml:space="preserve">six </w:t>
      </w:r>
      <w:r w:rsidR="00660487">
        <w:rPr>
          <w:b w:val="0"/>
        </w:rPr>
        <w:t xml:space="preserve">monthly </w:t>
      </w:r>
      <w:r w:rsidR="00AC2049">
        <w:rPr>
          <w:b w:val="0"/>
        </w:rPr>
        <w:t xml:space="preserve">weather </w:t>
      </w:r>
      <w:r w:rsidR="00B947F1">
        <w:rPr>
          <w:b w:val="0"/>
        </w:rPr>
        <w:t xml:space="preserve">interaction terms divided by the number of </w:t>
      </w:r>
      <w:r w:rsidR="00660487">
        <w:rPr>
          <w:b w:val="0"/>
        </w:rPr>
        <w:t xml:space="preserve">calendar </w:t>
      </w:r>
      <w:r w:rsidRPr="00E21AC3">
        <w:rPr>
          <w:b w:val="0"/>
        </w:rPr>
        <w:t>days</w:t>
      </w:r>
      <w:r w:rsidR="00156502">
        <w:rPr>
          <w:b w:val="0"/>
        </w:rPr>
        <w:t xml:space="preserve"> and</w:t>
      </w:r>
      <w:r w:rsidR="007E076E">
        <w:rPr>
          <w:b w:val="0"/>
        </w:rPr>
        <w:t xml:space="preserve"> the </w:t>
      </w:r>
      <w:r w:rsidR="00156502">
        <w:rPr>
          <w:b w:val="0"/>
        </w:rPr>
        <w:t xml:space="preserve">Georgia </w:t>
      </w:r>
      <w:r w:rsidR="007E076E">
        <w:rPr>
          <w:b w:val="0"/>
        </w:rPr>
        <w:t>Industrial Production Index</w:t>
      </w:r>
      <w:r w:rsidRPr="00E21AC3">
        <w:rPr>
          <w:b w:val="0"/>
        </w:rPr>
        <w:t>.</w:t>
      </w:r>
    </w:p>
    <w:bookmarkEnd w:id="282"/>
    <w:p w14:paraId="4C6A3B08" w14:textId="77777777" w:rsidR="008B0092" w:rsidRPr="00E21AC3" w:rsidRDefault="008B0092" w:rsidP="004967B3">
      <w:pPr>
        <w:pStyle w:val="BodyText"/>
        <w:spacing w:after="0" w:line="360" w:lineRule="auto"/>
        <w:jc w:val="both"/>
        <w:rPr>
          <w:b w:val="0"/>
        </w:rPr>
      </w:pPr>
    </w:p>
    <w:p w14:paraId="1535689A" w14:textId="64197AFC" w:rsidR="00FA78E1" w:rsidRPr="00E21AC3" w:rsidRDefault="00B509F9" w:rsidP="00665881">
      <w:pPr>
        <w:pStyle w:val="BodyText2"/>
        <w:spacing w:line="360" w:lineRule="auto"/>
        <w:jc w:val="both"/>
        <w:rPr>
          <w:b w:val="0"/>
        </w:rPr>
      </w:pPr>
      <w:r w:rsidRPr="00FA78E1">
        <w:rPr>
          <w:b w:val="0"/>
        </w:rPr>
        <w:t xml:space="preserve">The forecast of </w:t>
      </w:r>
      <w:r>
        <w:rPr>
          <w:b w:val="0"/>
        </w:rPr>
        <w:t>industr</w:t>
      </w:r>
      <w:r w:rsidRPr="00FA78E1">
        <w:rPr>
          <w:b w:val="0"/>
        </w:rPr>
        <w:t xml:space="preserve">ial </w:t>
      </w:r>
      <w:r>
        <w:rPr>
          <w:b w:val="0"/>
        </w:rPr>
        <w:t xml:space="preserve">energy sales per </w:t>
      </w:r>
      <w:r w:rsidR="00660487">
        <w:rPr>
          <w:b w:val="0"/>
        </w:rPr>
        <w:t xml:space="preserve">calendar </w:t>
      </w:r>
      <w:r>
        <w:rPr>
          <w:b w:val="0"/>
        </w:rPr>
        <w:t>day</w:t>
      </w:r>
      <w:r w:rsidRPr="00FA78E1">
        <w:rPr>
          <w:b w:val="0"/>
        </w:rPr>
        <w:t xml:space="preserve"> is multiplied by </w:t>
      </w:r>
      <w:r>
        <w:rPr>
          <w:b w:val="0"/>
        </w:rPr>
        <w:t xml:space="preserve">the number of </w:t>
      </w:r>
      <w:r w:rsidR="00660487">
        <w:rPr>
          <w:b w:val="0"/>
        </w:rPr>
        <w:t>calendar</w:t>
      </w:r>
      <w:r>
        <w:rPr>
          <w:b w:val="0"/>
        </w:rPr>
        <w:t xml:space="preserve"> days </w:t>
      </w:r>
      <w:r w:rsidRPr="00FA78E1">
        <w:rPr>
          <w:b w:val="0"/>
        </w:rPr>
        <w:t xml:space="preserve">to get </w:t>
      </w:r>
      <w:r w:rsidR="0019062C">
        <w:rPr>
          <w:b w:val="0"/>
        </w:rPr>
        <w:t xml:space="preserve">total </w:t>
      </w:r>
      <w:r w:rsidRPr="00FA78E1">
        <w:rPr>
          <w:b w:val="0"/>
        </w:rPr>
        <w:t xml:space="preserve">forecasted </w:t>
      </w:r>
      <w:r>
        <w:rPr>
          <w:b w:val="0"/>
        </w:rPr>
        <w:t xml:space="preserve">industrial </w:t>
      </w:r>
      <w:r w:rsidR="00660487">
        <w:rPr>
          <w:b w:val="0"/>
        </w:rPr>
        <w:t xml:space="preserve">calendar </w:t>
      </w:r>
      <w:r w:rsidRPr="00FA78E1">
        <w:rPr>
          <w:b w:val="0"/>
        </w:rPr>
        <w:t xml:space="preserve">energy sales. </w:t>
      </w:r>
      <w:r w:rsidR="00FA78E1" w:rsidRPr="00E21AC3">
        <w:rPr>
          <w:b w:val="0"/>
        </w:rPr>
        <w:t>A summary of the parameter estimates and statistics for the short-term industrial energy model is presented in Table 4.1.3-1.</w:t>
      </w:r>
    </w:p>
    <w:p w14:paraId="48A9AB03" w14:textId="77777777" w:rsidR="003D75D6" w:rsidRDefault="003D75D6" w:rsidP="00F73E00">
      <w:pPr>
        <w:pStyle w:val="BodyText2"/>
        <w:keepNext/>
        <w:spacing w:after="0" w:line="360" w:lineRule="auto"/>
        <w:jc w:val="both"/>
      </w:pPr>
    </w:p>
    <w:p w14:paraId="49C88BA7" w14:textId="79CAA8E2" w:rsidR="00D30BF2" w:rsidRDefault="0019062C" w:rsidP="00F73E00">
      <w:pPr>
        <w:pStyle w:val="BodyText2"/>
        <w:keepNext/>
        <w:spacing w:line="360" w:lineRule="auto"/>
        <w:jc w:val="both"/>
      </w:pPr>
      <w:r>
        <w:t>T</w:t>
      </w:r>
      <w:r w:rsidR="00FA78E1" w:rsidRPr="00FA78E1">
        <w:t xml:space="preserve">able 4.1.3-1: </w:t>
      </w:r>
      <w:r w:rsidR="00FA78E1" w:rsidRPr="00B66236">
        <w:t>Industrial Energy Sales</w:t>
      </w:r>
      <w:r w:rsidR="00B509F9" w:rsidRPr="00B66236">
        <w:t xml:space="preserve"> per </w:t>
      </w:r>
      <w:r w:rsidR="004251E1">
        <w:t>Calendar</w:t>
      </w:r>
      <w:r w:rsidR="004251E1" w:rsidRPr="00B66236">
        <w:t xml:space="preserve"> </w:t>
      </w:r>
      <w:r w:rsidR="00B509F9" w:rsidRPr="00B66236">
        <w:t>Day</w:t>
      </w:r>
    </w:p>
    <w:p w14:paraId="65EA9A3A" w14:textId="107B208B" w:rsidR="00017F25" w:rsidRPr="00017F25" w:rsidRDefault="005C3ECA" w:rsidP="005E0B9B">
      <w:pPr>
        <w:pStyle w:val="BodyTextIndent"/>
        <w:keepNext/>
        <w:spacing w:after="0"/>
        <w:ind w:left="0"/>
        <w:rPr>
          <w:b/>
        </w:rPr>
      </w:pPr>
      <w:r>
        <w:rPr>
          <w:b/>
        </w:rPr>
        <w:t xml:space="preserve">Industrial </w:t>
      </w:r>
      <w:r w:rsidR="00017F25" w:rsidRPr="00017F25">
        <w:rPr>
          <w:b/>
        </w:rPr>
        <w:t>Short-Term Model</w:t>
      </w:r>
    </w:p>
    <w:p w14:paraId="742B8FA3" w14:textId="06670E04" w:rsidR="00017F25" w:rsidRDefault="00017F25" w:rsidP="005E0B9B">
      <w:pPr>
        <w:pStyle w:val="BodyTextIndent"/>
        <w:keepNext/>
        <w:spacing w:after="0"/>
        <w:ind w:left="0"/>
        <w:rPr>
          <w:b/>
        </w:rPr>
      </w:pPr>
      <w:r w:rsidRPr="00017F25">
        <w:rPr>
          <w:b/>
        </w:rPr>
        <w:t xml:space="preserve">Budget </w:t>
      </w:r>
      <w:r w:rsidR="00F21567" w:rsidRPr="00017F25">
        <w:rPr>
          <w:b/>
        </w:rPr>
        <w:t>20</w:t>
      </w:r>
      <w:r w:rsidR="00F21567">
        <w:rPr>
          <w:b/>
        </w:rPr>
        <w:t>25</w:t>
      </w:r>
    </w:p>
    <w:p w14:paraId="42CC36C6" w14:textId="77777777" w:rsidR="00D30BF2" w:rsidRDefault="00D30BF2" w:rsidP="005E0B9B">
      <w:pPr>
        <w:pStyle w:val="BodyTextIndent"/>
        <w:keepNext/>
        <w:spacing w:after="0"/>
        <w:ind w:left="0"/>
        <w:rPr>
          <w:b/>
        </w:rPr>
      </w:pPr>
    </w:p>
    <w:p w14:paraId="50DC6F81" w14:textId="5B0FBB11" w:rsidR="001B3C78" w:rsidRDefault="00D76ED1" w:rsidP="005E0B9B">
      <w:pPr>
        <w:pStyle w:val="BodyTextIndent"/>
        <w:keepNext/>
        <w:spacing w:after="0"/>
        <w:ind w:left="0"/>
      </w:pPr>
      <w:r w:rsidRPr="00D76ED1">
        <w:rPr>
          <w:noProof/>
        </w:rPr>
        <w:drawing>
          <wp:inline distT="0" distB="0" distL="0" distR="0" wp14:anchorId="43A8394B" wp14:editId="5061B6B4">
            <wp:extent cx="4224655" cy="3620770"/>
            <wp:effectExtent l="0" t="0" r="4445" b="0"/>
            <wp:docPr id="15958338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24655" cy="3620770"/>
                    </a:xfrm>
                    <a:prstGeom prst="rect">
                      <a:avLst/>
                    </a:prstGeom>
                    <a:noFill/>
                    <a:ln>
                      <a:noFill/>
                    </a:ln>
                  </pic:spPr>
                </pic:pic>
              </a:graphicData>
            </a:graphic>
          </wp:inline>
        </w:drawing>
      </w:r>
    </w:p>
    <w:p w14:paraId="6570AD8A" w14:textId="11525F87" w:rsidR="00D30BF2" w:rsidRDefault="005B5167" w:rsidP="005E0B9B">
      <w:pPr>
        <w:pStyle w:val="BodyTextIndent"/>
        <w:keepNext/>
        <w:spacing w:after="0"/>
        <w:ind w:left="0"/>
        <w:rPr>
          <w:b/>
        </w:rPr>
      </w:pPr>
      <w:r w:rsidRPr="005B5167">
        <w:t xml:space="preserve"> </w:t>
      </w:r>
    </w:p>
    <w:p w14:paraId="463267FC" w14:textId="77777777" w:rsidR="00017F25" w:rsidRDefault="00017F25" w:rsidP="005E0B9B">
      <w:pPr>
        <w:pStyle w:val="BodyTextIndent"/>
        <w:keepNext/>
        <w:spacing w:after="0"/>
        <w:ind w:left="0"/>
      </w:pPr>
    </w:p>
    <w:p w14:paraId="16CC0D7C" w14:textId="62DEA600" w:rsidR="00E21AC3" w:rsidRDefault="00E21AC3" w:rsidP="005E0B9B">
      <w:pPr>
        <w:pStyle w:val="BodyText2"/>
        <w:keepNext/>
        <w:spacing w:line="360" w:lineRule="auto"/>
        <w:rPr>
          <w:b w:val="0"/>
        </w:rPr>
      </w:pPr>
    </w:p>
    <w:p w14:paraId="2D2E06D8" w14:textId="77777777" w:rsidR="00E21AC3" w:rsidRDefault="00E21AC3" w:rsidP="00FA78E1">
      <w:pPr>
        <w:pStyle w:val="BodyText2"/>
        <w:spacing w:line="360" w:lineRule="auto"/>
        <w:jc w:val="left"/>
        <w:rPr>
          <w:b w:val="0"/>
        </w:rPr>
      </w:pPr>
    </w:p>
    <w:p w14:paraId="62FA33D1" w14:textId="77777777" w:rsidR="0008540A" w:rsidRDefault="0008540A">
      <w:pPr>
        <w:spacing w:after="200" w:line="276" w:lineRule="auto"/>
        <w:jc w:val="left"/>
        <w:rPr>
          <w:b w:val="0"/>
        </w:rPr>
      </w:pPr>
      <w:r>
        <w:rPr>
          <w:b w:val="0"/>
        </w:rPr>
        <w:br w:type="page"/>
      </w:r>
    </w:p>
    <w:p w14:paraId="3DEFE4E4" w14:textId="77777777" w:rsidR="0008540A" w:rsidRDefault="00FA78E1" w:rsidP="0008540A">
      <w:pPr>
        <w:pStyle w:val="BodyText2"/>
        <w:keepNext/>
        <w:widowControl w:val="0"/>
        <w:spacing w:line="360" w:lineRule="auto"/>
        <w:jc w:val="left"/>
      </w:pPr>
      <w:r w:rsidRPr="00FA78E1">
        <w:rPr>
          <w:b w:val="0"/>
        </w:rPr>
        <w:lastRenderedPageBreak/>
        <w:t xml:space="preserve"> </w:t>
      </w:r>
      <w:r w:rsidR="00017F25" w:rsidRPr="00017F25">
        <w:t>Where:</w:t>
      </w:r>
    </w:p>
    <w:p w14:paraId="56AAF883" w14:textId="3418B3CC" w:rsidR="00D30BF2" w:rsidRDefault="00F21567" w:rsidP="0008540A">
      <w:pPr>
        <w:pStyle w:val="BodyText2"/>
        <w:keepNext/>
        <w:widowControl w:val="0"/>
        <w:spacing w:line="360" w:lineRule="auto"/>
        <w:jc w:val="left"/>
      </w:pPr>
      <w:r w:rsidRPr="00F21567">
        <w:rPr>
          <w:noProof/>
        </w:rPr>
        <w:drawing>
          <wp:inline distT="0" distB="0" distL="0" distR="0" wp14:anchorId="46376531" wp14:editId="3599CC00">
            <wp:extent cx="5943600" cy="3432175"/>
            <wp:effectExtent l="0" t="0" r="0" b="0"/>
            <wp:docPr id="20736125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43600" cy="3432175"/>
                    </a:xfrm>
                    <a:prstGeom prst="rect">
                      <a:avLst/>
                    </a:prstGeom>
                    <a:noFill/>
                    <a:ln>
                      <a:noFill/>
                    </a:ln>
                  </pic:spPr>
                </pic:pic>
              </a:graphicData>
            </a:graphic>
          </wp:inline>
        </w:drawing>
      </w:r>
    </w:p>
    <w:p w14:paraId="1CE0319E" w14:textId="77777777" w:rsidR="00017F25" w:rsidRDefault="00017F25" w:rsidP="00573B68">
      <w:bookmarkStart w:id="283" w:name="_Toc347120387"/>
    </w:p>
    <w:p w14:paraId="5FDC324B" w14:textId="77777777" w:rsidR="00E21AC3" w:rsidRPr="00E21AC3" w:rsidRDefault="00E21AC3" w:rsidP="00E21AC3">
      <w:pPr>
        <w:pStyle w:val="Heading2"/>
        <w:jc w:val="left"/>
        <w:rPr>
          <w:rFonts w:ascii="Arial" w:hAnsi="Arial" w:cs="Arial"/>
          <w:b/>
          <w:color w:val="auto"/>
          <w:sz w:val="20"/>
          <w:szCs w:val="20"/>
        </w:rPr>
      </w:pPr>
      <w:bookmarkStart w:id="284" w:name="_Toc188257140"/>
      <w:bookmarkStart w:id="285" w:name="_Toc188257355"/>
      <w:bookmarkStart w:id="286" w:name="_Toc188257579"/>
      <w:bookmarkStart w:id="287" w:name="_Toc189162588"/>
      <w:r w:rsidRPr="00E21AC3">
        <w:rPr>
          <w:rFonts w:ascii="Arial" w:hAnsi="Arial" w:cs="Arial"/>
          <w:b/>
          <w:color w:val="auto"/>
          <w:sz w:val="20"/>
          <w:szCs w:val="20"/>
        </w:rPr>
        <w:t>4.1.4</w:t>
      </w:r>
      <w:r w:rsidRPr="00E21AC3">
        <w:rPr>
          <w:rFonts w:ascii="Arial" w:hAnsi="Arial" w:cs="Arial"/>
          <w:b/>
          <w:color w:val="auto"/>
          <w:sz w:val="20"/>
          <w:szCs w:val="20"/>
        </w:rPr>
        <w:tab/>
        <w:t>MARTA Sales</w:t>
      </w:r>
      <w:bookmarkEnd w:id="283"/>
      <w:bookmarkEnd w:id="284"/>
      <w:bookmarkEnd w:id="285"/>
      <w:bookmarkEnd w:id="286"/>
      <w:bookmarkEnd w:id="287"/>
    </w:p>
    <w:p w14:paraId="1D82546B" w14:textId="77777777" w:rsidR="00E21AC3" w:rsidRDefault="00E21AC3" w:rsidP="00E21AC3">
      <w:pPr>
        <w:pStyle w:val="BodyText2"/>
        <w:spacing w:line="360" w:lineRule="auto"/>
        <w:jc w:val="left"/>
        <w:rPr>
          <w:b w:val="0"/>
        </w:rPr>
      </w:pPr>
    </w:p>
    <w:p w14:paraId="2BED594D" w14:textId="34624062" w:rsidR="00E21AC3" w:rsidRDefault="00E21AC3" w:rsidP="00CC728E">
      <w:pPr>
        <w:pStyle w:val="BodyText2"/>
        <w:spacing w:after="0" w:line="360" w:lineRule="auto"/>
        <w:jc w:val="both"/>
        <w:rPr>
          <w:b w:val="0"/>
        </w:rPr>
      </w:pPr>
      <w:r w:rsidRPr="00E21AC3">
        <w:rPr>
          <w:b w:val="0"/>
        </w:rPr>
        <w:t>MARTA energy sales, both short</w:t>
      </w:r>
      <w:r w:rsidR="00604AC6">
        <w:rPr>
          <w:b w:val="0"/>
        </w:rPr>
        <w:t>-</w:t>
      </w:r>
      <w:r w:rsidRPr="00E21AC3">
        <w:rPr>
          <w:b w:val="0"/>
        </w:rPr>
        <w:t>term and long</w:t>
      </w:r>
      <w:r w:rsidR="00604AC6">
        <w:rPr>
          <w:b w:val="0"/>
        </w:rPr>
        <w:t>-</w:t>
      </w:r>
      <w:r w:rsidRPr="00E21AC3">
        <w:rPr>
          <w:b w:val="0"/>
        </w:rPr>
        <w:t>term, are forecast</w:t>
      </w:r>
      <w:r w:rsidR="005C3ECA">
        <w:rPr>
          <w:b w:val="0"/>
        </w:rPr>
        <w:t>ed</w:t>
      </w:r>
      <w:r w:rsidRPr="00E21AC3">
        <w:rPr>
          <w:b w:val="0"/>
        </w:rPr>
        <w:t xml:space="preserve"> </w:t>
      </w:r>
      <w:r w:rsidR="005C3ECA">
        <w:rPr>
          <w:b w:val="0"/>
        </w:rPr>
        <w:t>using</w:t>
      </w:r>
      <w:r w:rsidRPr="00E21AC3">
        <w:rPr>
          <w:b w:val="0"/>
        </w:rPr>
        <w:t xml:space="preserve"> </w:t>
      </w:r>
      <w:r w:rsidR="00AF1EFF">
        <w:rPr>
          <w:b w:val="0"/>
        </w:rPr>
        <w:t>a linear regression</w:t>
      </w:r>
      <w:r w:rsidRPr="00E21AC3">
        <w:rPr>
          <w:b w:val="0"/>
        </w:rPr>
        <w:t xml:space="preserve"> model that relates sales to </w:t>
      </w:r>
      <w:r w:rsidR="00993650">
        <w:rPr>
          <w:b w:val="0"/>
        </w:rPr>
        <w:t>eleven</w:t>
      </w:r>
      <w:r w:rsidR="003F25FB">
        <w:rPr>
          <w:b w:val="0"/>
        </w:rPr>
        <w:t xml:space="preserve"> </w:t>
      </w:r>
      <w:r w:rsidR="00E058AF">
        <w:rPr>
          <w:b w:val="0"/>
        </w:rPr>
        <w:t xml:space="preserve">monthly </w:t>
      </w:r>
      <w:r w:rsidR="00F91F32">
        <w:rPr>
          <w:b w:val="0"/>
        </w:rPr>
        <w:t xml:space="preserve">weather </w:t>
      </w:r>
      <w:r w:rsidR="004E5A50">
        <w:rPr>
          <w:b w:val="0"/>
        </w:rPr>
        <w:t>interaction terms</w:t>
      </w:r>
      <w:r w:rsidR="00226F62">
        <w:rPr>
          <w:b w:val="0"/>
        </w:rPr>
        <w:t xml:space="preserve"> and a Covid-19 recovery trend variable</w:t>
      </w:r>
      <w:r w:rsidR="00096021">
        <w:rPr>
          <w:b w:val="0"/>
        </w:rPr>
        <w:t xml:space="preserve">. </w:t>
      </w:r>
      <w:r w:rsidRPr="00E21AC3">
        <w:rPr>
          <w:b w:val="0"/>
        </w:rPr>
        <w:t>Table 4.1.4-1 presents the specific parameter estimates and statistics of the MARTA energy model.</w:t>
      </w:r>
    </w:p>
    <w:p w14:paraId="76217BBD" w14:textId="77777777" w:rsidR="00226F62" w:rsidRDefault="00226F62" w:rsidP="004967B3">
      <w:pPr>
        <w:pStyle w:val="BodyText2"/>
        <w:spacing w:after="0" w:line="360" w:lineRule="auto"/>
        <w:jc w:val="both"/>
        <w:rPr>
          <w:b w:val="0"/>
        </w:rPr>
      </w:pPr>
    </w:p>
    <w:p w14:paraId="4B879CF0" w14:textId="746DD863" w:rsidR="00E21AC3" w:rsidRDefault="00226F62" w:rsidP="003D34F2">
      <w:pPr>
        <w:pStyle w:val="BodyText2"/>
        <w:spacing w:line="360" w:lineRule="auto"/>
        <w:jc w:val="both"/>
        <w:rPr>
          <w:b w:val="0"/>
        </w:rPr>
      </w:pPr>
      <w:r>
        <w:rPr>
          <w:b w:val="0"/>
        </w:rPr>
        <w:t>E</w:t>
      </w:r>
      <w:r w:rsidRPr="008E1547">
        <w:rPr>
          <w:b w:val="0"/>
        </w:rPr>
        <w:t xml:space="preserve">nergy sales </w:t>
      </w:r>
      <w:r>
        <w:rPr>
          <w:b w:val="0"/>
        </w:rPr>
        <w:t xml:space="preserve">to MARTA </w:t>
      </w:r>
      <w:r w:rsidRPr="008E1547">
        <w:rPr>
          <w:b w:val="0"/>
        </w:rPr>
        <w:t xml:space="preserve">were hard-hit </w:t>
      </w:r>
      <w:r>
        <w:rPr>
          <w:b w:val="0"/>
        </w:rPr>
        <w:t xml:space="preserve">by the Covid-19 pandemic, dropping by </w:t>
      </w:r>
      <w:r w:rsidR="0008540A">
        <w:rPr>
          <w:b w:val="0"/>
        </w:rPr>
        <w:t>23</w:t>
      </w:r>
      <w:r>
        <w:rPr>
          <w:b w:val="0"/>
        </w:rPr>
        <w:t>% from March to April 2020. Th</w:t>
      </w:r>
      <w:r w:rsidR="001572A9">
        <w:rPr>
          <w:b w:val="0"/>
        </w:rPr>
        <w:t>e</w:t>
      </w:r>
      <w:r>
        <w:rPr>
          <w:b w:val="0"/>
        </w:rPr>
        <w:t xml:space="preserve"> </w:t>
      </w:r>
      <w:r w:rsidR="001572A9">
        <w:rPr>
          <w:b w:val="0"/>
        </w:rPr>
        <w:t xml:space="preserve">Covid </w:t>
      </w:r>
      <w:r>
        <w:rPr>
          <w:b w:val="0"/>
        </w:rPr>
        <w:t xml:space="preserve">variable is based on the forecast of Georgia’s </w:t>
      </w:r>
      <w:r w:rsidR="001572A9">
        <w:rPr>
          <w:b w:val="0"/>
        </w:rPr>
        <w:t>GSP</w:t>
      </w:r>
      <w:r w:rsidR="001F023F">
        <w:rPr>
          <w:b w:val="0"/>
        </w:rPr>
        <w:t>.</w:t>
      </w:r>
      <w:r>
        <w:rPr>
          <w:b w:val="0"/>
        </w:rPr>
        <w:t xml:space="preserve"> </w:t>
      </w:r>
      <w:r w:rsidR="001F023F">
        <w:rPr>
          <w:b w:val="0"/>
        </w:rPr>
        <w:t xml:space="preserve">This variable has </w:t>
      </w:r>
      <w:r>
        <w:rPr>
          <w:b w:val="0"/>
        </w:rPr>
        <w:t>a value of one in April and May 2020, and then declin</w:t>
      </w:r>
      <w:r w:rsidR="001F023F">
        <w:rPr>
          <w:b w:val="0"/>
        </w:rPr>
        <w:t>es</w:t>
      </w:r>
      <w:r>
        <w:rPr>
          <w:b w:val="0"/>
        </w:rPr>
        <w:t xml:space="preserve"> to zero </w:t>
      </w:r>
      <w:r w:rsidR="001F023F">
        <w:rPr>
          <w:b w:val="0"/>
        </w:rPr>
        <w:t>once the level of</w:t>
      </w:r>
      <w:r>
        <w:rPr>
          <w:b w:val="0"/>
        </w:rPr>
        <w:t xml:space="preserve"> </w:t>
      </w:r>
      <w:r w:rsidR="001572A9">
        <w:rPr>
          <w:b w:val="0"/>
        </w:rPr>
        <w:t>GSP</w:t>
      </w:r>
      <w:r>
        <w:rPr>
          <w:b w:val="0"/>
        </w:rPr>
        <w:t xml:space="preserve"> </w:t>
      </w:r>
      <w:r w:rsidR="001F023F">
        <w:rPr>
          <w:b w:val="0"/>
        </w:rPr>
        <w:t>surpass</w:t>
      </w:r>
      <w:r>
        <w:rPr>
          <w:b w:val="0"/>
        </w:rPr>
        <w:t xml:space="preserve">es </w:t>
      </w:r>
      <w:r w:rsidR="001F023F">
        <w:rPr>
          <w:b w:val="0"/>
        </w:rPr>
        <w:t>the</w:t>
      </w:r>
      <w:r>
        <w:rPr>
          <w:b w:val="0"/>
        </w:rPr>
        <w:t xml:space="preserve"> pre-pandemic level</w:t>
      </w:r>
      <w:r w:rsidR="001572A9">
        <w:rPr>
          <w:b w:val="0"/>
        </w:rPr>
        <w:t xml:space="preserve"> </w:t>
      </w:r>
      <w:r w:rsidR="001F023F">
        <w:rPr>
          <w:b w:val="0"/>
        </w:rPr>
        <w:t>from</w:t>
      </w:r>
      <w:r w:rsidR="001572A9">
        <w:rPr>
          <w:b w:val="0"/>
        </w:rPr>
        <w:t xml:space="preserve"> February 2020</w:t>
      </w:r>
      <w:r>
        <w:rPr>
          <w:b w:val="0"/>
        </w:rPr>
        <w:t>.</w:t>
      </w:r>
      <w:r w:rsidR="001F023F">
        <w:rPr>
          <w:b w:val="0"/>
        </w:rPr>
        <w:t xml:space="preserve"> </w:t>
      </w:r>
    </w:p>
    <w:p w14:paraId="2C9C8558" w14:textId="65905852" w:rsidR="00E21AC3" w:rsidRDefault="00E21AC3" w:rsidP="00BC1EDB">
      <w:pPr>
        <w:pStyle w:val="BodyText2"/>
        <w:keepNext/>
        <w:spacing w:line="360" w:lineRule="auto"/>
        <w:jc w:val="left"/>
      </w:pPr>
      <w:r w:rsidRPr="00E21AC3">
        <w:lastRenderedPageBreak/>
        <w:t xml:space="preserve">Table 4.1.4-1: </w:t>
      </w:r>
      <w:r w:rsidRPr="00B66236">
        <w:t>MARTA Energy Sales</w:t>
      </w:r>
    </w:p>
    <w:p w14:paraId="0BB458DD" w14:textId="214FA4F9" w:rsidR="00017F25" w:rsidRPr="00017F25" w:rsidRDefault="005C3ECA" w:rsidP="00BC1EDB">
      <w:pPr>
        <w:pStyle w:val="BodyTextIndent"/>
        <w:keepNext/>
        <w:spacing w:after="0"/>
        <w:ind w:left="0"/>
        <w:rPr>
          <w:b/>
        </w:rPr>
      </w:pPr>
      <w:r>
        <w:rPr>
          <w:b/>
        </w:rPr>
        <w:t xml:space="preserve">MARTA </w:t>
      </w:r>
      <w:r w:rsidR="00017F25" w:rsidRPr="00017F25">
        <w:rPr>
          <w:b/>
        </w:rPr>
        <w:t>Short-Term Model</w:t>
      </w:r>
    </w:p>
    <w:p w14:paraId="20C1CC3C" w14:textId="75A34589" w:rsidR="00017F25" w:rsidRDefault="00017F25" w:rsidP="00BC1EDB">
      <w:pPr>
        <w:pStyle w:val="BodyTextIndent"/>
        <w:keepNext/>
        <w:spacing w:after="0"/>
        <w:ind w:left="0"/>
        <w:rPr>
          <w:b/>
        </w:rPr>
      </w:pPr>
      <w:r w:rsidRPr="00017F25">
        <w:rPr>
          <w:b/>
        </w:rPr>
        <w:t xml:space="preserve">Budget </w:t>
      </w:r>
      <w:r w:rsidR="00AB4105" w:rsidRPr="00017F25">
        <w:rPr>
          <w:b/>
        </w:rPr>
        <w:t>20</w:t>
      </w:r>
      <w:r w:rsidR="00AB4105">
        <w:rPr>
          <w:b/>
        </w:rPr>
        <w:t>25</w:t>
      </w:r>
    </w:p>
    <w:p w14:paraId="45C4EB3E" w14:textId="60143303" w:rsidR="00017F25" w:rsidRDefault="00017F25" w:rsidP="00BC1EDB">
      <w:pPr>
        <w:pStyle w:val="BodyTextIndent"/>
        <w:keepNext/>
        <w:spacing w:after="0"/>
        <w:ind w:left="0"/>
      </w:pPr>
    </w:p>
    <w:p w14:paraId="06744658" w14:textId="7DFBD158" w:rsidR="001B3C78" w:rsidRDefault="003C78DF" w:rsidP="00BC1EDB">
      <w:pPr>
        <w:pStyle w:val="BodyTextIndent"/>
        <w:keepNext/>
        <w:spacing w:after="0"/>
        <w:ind w:left="0"/>
      </w:pPr>
      <w:r w:rsidRPr="003C78DF">
        <w:rPr>
          <w:noProof/>
        </w:rPr>
        <w:drawing>
          <wp:inline distT="0" distB="0" distL="0" distR="0" wp14:anchorId="186470CC" wp14:editId="7E9EBB77">
            <wp:extent cx="4486910" cy="4157345"/>
            <wp:effectExtent l="0" t="0" r="8890" b="0"/>
            <wp:docPr id="16494334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86910" cy="4157345"/>
                    </a:xfrm>
                    <a:prstGeom prst="rect">
                      <a:avLst/>
                    </a:prstGeom>
                    <a:noFill/>
                    <a:ln>
                      <a:noFill/>
                    </a:ln>
                  </pic:spPr>
                </pic:pic>
              </a:graphicData>
            </a:graphic>
          </wp:inline>
        </w:drawing>
      </w:r>
    </w:p>
    <w:p w14:paraId="01F5EF95" w14:textId="44E92769" w:rsidR="00D30BF2" w:rsidRDefault="00D30BF2" w:rsidP="00BC1EDB">
      <w:pPr>
        <w:pStyle w:val="BodyTextIndent"/>
        <w:keepNext/>
        <w:spacing w:after="0"/>
        <w:ind w:left="0"/>
      </w:pPr>
    </w:p>
    <w:p w14:paraId="2E81945F" w14:textId="57D0D1E8" w:rsidR="00BF406B" w:rsidRDefault="00BF406B" w:rsidP="00BC1EDB">
      <w:pPr>
        <w:pStyle w:val="BodyText2"/>
        <w:keepNext/>
        <w:spacing w:line="360" w:lineRule="auto"/>
      </w:pPr>
    </w:p>
    <w:p w14:paraId="3C25DB1A" w14:textId="77777777" w:rsidR="00BF406B" w:rsidRDefault="00BF406B" w:rsidP="00BF406B">
      <w:pPr>
        <w:pStyle w:val="BodyText2"/>
        <w:spacing w:line="360" w:lineRule="auto"/>
        <w:jc w:val="left"/>
      </w:pPr>
    </w:p>
    <w:p w14:paraId="0C4924A4" w14:textId="77777777" w:rsidR="005C3ECA" w:rsidRDefault="005C3ECA">
      <w:pPr>
        <w:spacing w:after="200" w:line="276" w:lineRule="auto"/>
        <w:jc w:val="left"/>
      </w:pPr>
      <w:r>
        <w:br w:type="page"/>
      </w:r>
    </w:p>
    <w:p w14:paraId="4A294683" w14:textId="6E56E4E6" w:rsidR="005B5167" w:rsidRDefault="00BF406B" w:rsidP="00BF406B">
      <w:pPr>
        <w:pStyle w:val="BodyText2"/>
        <w:spacing w:line="360" w:lineRule="auto"/>
        <w:jc w:val="left"/>
      </w:pPr>
      <w:r>
        <w:lastRenderedPageBreak/>
        <w:t>Where:</w:t>
      </w:r>
      <w:r w:rsidR="005C3ECA" w:rsidRPr="005C3ECA">
        <w:t xml:space="preserve"> </w:t>
      </w:r>
    </w:p>
    <w:p w14:paraId="57032DAF" w14:textId="77777777" w:rsidR="00E940B0" w:rsidRDefault="00AB4105" w:rsidP="00BF406B">
      <w:pPr>
        <w:pStyle w:val="BodyText2"/>
        <w:spacing w:line="360" w:lineRule="auto"/>
        <w:jc w:val="left"/>
      </w:pPr>
      <w:r w:rsidRPr="00AB4105">
        <w:rPr>
          <w:noProof/>
        </w:rPr>
        <w:drawing>
          <wp:inline distT="0" distB="0" distL="0" distR="0" wp14:anchorId="60FAF5F5" wp14:editId="7FE7ACF2">
            <wp:extent cx="5943600" cy="3357880"/>
            <wp:effectExtent l="0" t="0" r="0" b="0"/>
            <wp:docPr id="211924815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943600" cy="3357880"/>
                    </a:xfrm>
                    <a:prstGeom prst="rect">
                      <a:avLst/>
                    </a:prstGeom>
                    <a:noFill/>
                    <a:ln>
                      <a:noFill/>
                    </a:ln>
                  </pic:spPr>
                </pic:pic>
              </a:graphicData>
            </a:graphic>
          </wp:inline>
        </w:drawing>
      </w:r>
    </w:p>
    <w:p w14:paraId="7BA79271" w14:textId="5FB19505" w:rsidR="00BF406B" w:rsidRPr="003A3426" w:rsidRDefault="00BF406B" w:rsidP="002D2723">
      <w:pPr>
        <w:pStyle w:val="BodyText2"/>
        <w:spacing w:after="0" w:line="360" w:lineRule="auto"/>
      </w:pPr>
    </w:p>
    <w:p w14:paraId="6FF18F21" w14:textId="77777777" w:rsidR="00E21AC3" w:rsidRPr="00E21AC3" w:rsidRDefault="00E21AC3" w:rsidP="00E21AC3">
      <w:pPr>
        <w:pStyle w:val="Heading2"/>
        <w:jc w:val="left"/>
        <w:rPr>
          <w:rFonts w:ascii="Arial" w:hAnsi="Arial" w:cs="Arial"/>
          <w:b/>
          <w:color w:val="auto"/>
          <w:sz w:val="20"/>
          <w:szCs w:val="20"/>
        </w:rPr>
      </w:pPr>
      <w:bookmarkStart w:id="288" w:name="_Toc112219387"/>
      <w:bookmarkStart w:id="289" w:name="_Toc347120389"/>
      <w:bookmarkStart w:id="290" w:name="_Toc188257141"/>
      <w:bookmarkStart w:id="291" w:name="_Toc188257356"/>
      <w:bookmarkStart w:id="292" w:name="_Toc188257580"/>
      <w:bookmarkStart w:id="293" w:name="_Toc189162589"/>
      <w:r w:rsidRPr="00E21AC3">
        <w:rPr>
          <w:rFonts w:ascii="Arial" w:hAnsi="Arial" w:cs="Arial"/>
          <w:b/>
          <w:color w:val="auto"/>
          <w:sz w:val="20"/>
          <w:szCs w:val="20"/>
        </w:rPr>
        <w:t>4.1.5</w:t>
      </w:r>
      <w:r w:rsidRPr="00E21AC3">
        <w:rPr>
          <w:rFonts w:ascii="Arial" w:hAnsi="Arial" w:cs="Arial"/>
          <w:b/>
          <w:color w:val="auto"/>
          <w:sz w:val="20"/>
          <w:szCs w:val="20"/>
        </w:rPr>
        <w:tab/>
        <w:t>Governmental Lighting Sales</w:t>
      </w:r>
      <w:bookmarkEnd w:id="288"/>
      <w:bookmarkEnd w:id="289"/>
      <w:bookmarkEnd w:id="290"/>
      <w:bookmarkEnd w:id="291"/>
      <w:bookmarkEnd w:id="292"/>
      <w:bookmarkEnd w:id="293"/>
    </w:p>
    <w:p w14:paraId="210CD05D" w14:textId="77777777" w:rsidR="00BC1EDB" w:rsidRDefault="00BC1EDB" w:rsidP="00665881">
      <w:pPr>
        <w:pStyle w:val="BodyText2"/>
        <w:spacing w:line="360" w:lineRule="auto"/>
        <w:jc w:val="both"/>
        <w:rPr>
          <w:b w:val="0"/>
        </w:rPr>
      </w:pPr>
    </w:p>
    <w:p w14:paraId="03A23E81" w14:textId="711FEEC6" w:rsidR="00E03DA3" w:rsidRPr="0076429E" w:rsidRDefault="004B09F7" w:rsidP="0076429E">
      <w:pPr>
        <w:pStyle w:val="BodyText2"/>
        <w:spacing w:line="360" w:lineRule="auto"/>
        <w:jc w:val="both"/>
        <w:rPr>
          <w:b w:val="0"/>
        </w:rPr>
      </w:pPr>
      <w:bookmarkStart w:id="294" w:name="_Hlk184394419"/>
      <w:r>
        <w:rPr>
          <w:b w:val="0"/>
        </w:rPr>
        <w:t xml:space="preserve">Between </w:t>
      </w:r>
      <w:r w:rsidRPr="00D57D5E">
        <w:rPr>
          <w:b w:val="0"/>
        </w:rPr>
        <w:t>2014 and 202</w:t>
      </w:r>
      <w:r w:rsidR="009D3B21" w:rsidRPr="009D3B21">
        <w:rPr>
          <w:b w:val="0"/>
        </w:rPr>
        <w:t>3</w:t>
      </w:r>
      <w:r>
        <w:rPr>
          <w:b w:val="0"/>
        </w:rPr>
        <w:t xml:space="preserve">, regulated governmental lighting energy sales declined by </w:t>
      </w:r>
      <w:r w:rsidR="009D3B21">
        <w:rPr>
          <w:b w:val="0"/>
        </w:rPr>
        <w:t>4</w:t>
      </w:r>
      <w:r w:rsidRPr="00D57D5E">
        <w:rPr>
          <w:b w:val="0"/>
        </w:rPr>
        <w:t>0%</w:t>
      </w:r>
      <w:r>
        <w:rPr>
          <w:b w:val="0"/>
        </w:rPr>
        <w:t xml:space="preserve"> as municipalities changed out older lights and replaced them with new energy efficient lighting fixtures. </w:t>
      </w:r>
      <w:r w:rsidR="00332104">
        <w:rPr>
          <w:b w:val="0"/>
        </w:rPr>
        <w:t>The use of an econometric model is not feasible s</w:t>
      </w:r>
      <w:r>
        <w:rPr>
          <w:b w:val="0"/>
        </w:rPr>
        <w:t xml:space="preserve">ince there is no </w:t>
      </w:r>
      <w:r w:rsidR="00332104">
        <w:rPr>
          <w:b w:val="0"/>
        </w:rPr>
        <w:t xml:space="preserve">reasonable </w:t>
      </w:r>
      <w:r>
        <w:rPr>
          <w:b w:val="0"/>
        </w:rPr>
        <w:t>economic driver that can be used to model this sort of decline</w:t>
      </w:r>
      <w:r w:rsidR="00332104">
        <w:rPr>
          <w:b w:val="0"/>
        </w:rPr>
        <w:t xml:space="preserve">. For Budget 2025, </w:t>
      </w:r>
      <w:r>
        <w:rPr>
          <w:b w:val="0"/>
        </w:rPr>
        <w:t>the Company instead uses a simple growth rate</w:t>
      </w:r>
      <w:r w:rsidR="001C1759">
        <w:rPr>
          <w:b w:val="0"/>
        </w:rPr>
        <w:t>, based on a 5-year compound annual growth rate,</w:t>
      </w:r>
      <w:r>
        <w:rPr>
          <w:b w:val="0"/>
        </w:rPr>
        <w:t xml:space="preserve"> to capture the short-term trend. </w:t>
      </w:r>
      <w:r w:rsidR="005C58C1">
        <w:rPr>
          <w:b w:val="0"/>
        </w:rPr>
        <w:t>C</w:t>
      </w:r>
      <w:r>
        <w:rPr>
          <w:b w:val="0"/>
        </w:rPr>
        <w:t xml:space="preserve">ubic spline </w:t>
      </w:r>
      <w:r w:rsidR="005C58C1">
        <w:rPr>
          <w:b w:val="0"/>
        </w:rPr>
        <w:t xml:space="preserve">interpolation </w:t>
      </w:r>
      <w:r>
        <w:rPr>
          <w:b w:val="0"/>
        </w:rPr>
        <w:t xml:space="preserve">is used to </w:t>
      </w:r>
      <w:r w:rsidR="005C58C1">
        <w:rPr>
          <w:b w:val="0"/>
        </w:rPr>
        <w:t>moderate</w:t>
      </w:r>
      <w:r>
        <w:rPr>
          <w:b w:val="0"/>
        </w:rPr>
        <w:t xml:space="preserve"> the rate of decline </w:t>
      </w:r>
      <w:r w:rsidR="009F6648">
        <w:rPr>
          <w:b w:val="0"/>
        </w:rPr>
        <w:t xml:space="preserve">over the </w:t>
      </w:r>
      <w:r w:rsidR="005C58C1">
        <w:rPr>
          <w:b w:val="0"/>
        </w:rPr>
        <w:t xml:space="preserve">long-term </w:t>
      </w:r>
      <w:r>
        <w:rPr>
          <w:b w:val="0"/>
        </w:rPr>
        <w:t>forecast</w:t>
      </w:r>
      <w:r w:rsidR="009F6648">
        <w:rPr>
          <w:b w:val="0"/>
        </w:rPr>
        <w:t xml:space="preserve"> horizon.</w:t>
      </w:r>
      <w:r>
        <w:rPr>
          <w:b w:val="0"/>
        </w:rPr>
        <w:t xml:space="preserve"> </w:t>
      </w:r>
      <w:bookmarkEnd w:id="294"/>
    </w:p>
    <w:p w14:paraId="1B464F15" w14:textId="77777777" w:rsidR="00E21AC3" w:rsidRPr="00525415" w:rsidRDefault="00E21AC3" w:rsidP="00E21AC3">
      <w:pPr>
        <w:pStyle w:val="Heading1"/>
        <w:jc w:val="left"/>
        <w:rPr>
          <w:rFonts w:ascii="Arial" w:hAnsi="Arial" w:cs="Arial"/>
          <w:b/>
          <w:color w:val="auto"/>
        </w:rPr>
      </w:pPr>
      <w:bookmarkStart w:id="295" w:name="_Toc112219392"/>
      <w:bookmarkStart w:id="296" w:name="_Toc347120391"/>
      <w:bookmarkStart w:id="297" w:name="_Toc188257142"/>
      <w:bookmarkStart w:id="298" w:name="_Toc188257357"/>
      <w:bookmarkStart w:id="299" w:name="_Toc188257581"/>
      <w:bookmarkStart w:id="300" w:name="_Toc189162590"/>
      <w:r w:rsidRPr="00525415">
        <w:rPr>
          <w:rFonts w:ascii="Arial" w:hAnsi="Arial" w:cs="Arial"/>
          <w:b/>
          <w:color w:val="auto"/>
        </w:rPr>
        <w:t>4.2</w:t>
      </w:r>
      <w:r w:rsidRPr="00525415">
        <w:rPr>
          <w:rFonts w:ascii="Arial" w:hAnsi="Arial" w:cs="Arial"/>
          <w:b/>
          <w:color w:val="auto"/>
        </w:rPr>
        <w:tab/>
        <w:t>CUSTOMER FORECASTS</w:t>
      </w:r>
      <w:bookmarkEnd w:id="295"/>
      <w:bookmarkEnd w:id="296"/>
      <w:bookmarkEnd w:id="297"/>
      <w:bookmarkEnd w:id="298"/>
      <w:bookmarkEnd w:id="299"/>
      <w:bookmarkEnd w:id="300"/>
    </w:p>
    <w:p w14:paraId="73549253" w14:textId="77777777" w:rsidR="00525415" w:rsidRDefault="00525415" w:rsidP="00525415">
      <w:pPr>
        <w:pStyle w:val="BodyText2"/>
        <w:spacing w:line="360" w:lineRule="auto"/>
        <w:jc w:val="left"/>
        <w:rPr>
          <w:b w:val="0"/>
        </w:rPr>
      </w:pPr>
    </w:p>
    <w:p w14:paraId="17081A74" w14:textId="209613DE" w:rsidR="005B5167" w:rsidRPr="00525415" w:rsidRDefault="00E21AC3" w:rsidP="0008540A">
      <w:pPr>
        <w:pStyle w:val="BodyText2"/>
        <w:spacing w:before="240" w:after="0" w:line="360" w:lineRule="auto"/>
        <w:jc w:val="both"/>
        <w:rPr>
          <w:b w:val="0"/>
        </w:rPr>
      </w:pPr>
      <w:r w:rsidRPr="00525415">
        <w:rPr>
          <w:b w:val="0"/>
        </w:rPr>
        <w:t xml:space="preserve">Budget </w:t>
      </w:r>
      <w:r w:rsidR="006E0CB4" w:rsidRPr="00525415">
        <w:rPr>
          <w:b w:val="0"/>
        </w:rPr>
        <w:t>20</w:t>
      </w:r>
      <w:r w:rsidR="006E0CB4">
        <w:rPr>
          <w:b w:val="0"/>
        </w:rPr>
        <w:t>25</w:t>
      </w:r>
      <w:r w:rsidR="006E0CB4" w:rsidRPr="00525415">
        <w:rPr>
          <w:b w:val="0"/>
        </w:rPr>
        <w:t xml:space="preserve"> </w:t>
      </w:r>
      <w:r w:rsidRPr="00525415">
        <w:rPr>
          <w:b w:val="0"/>
        </w:rPr>
        <w:t xml:space="preserve">customer forecasts for the residential, commercial, industrial, and governmental lighting classes were developed using </w:t>
      </w:r>
      <w:r w:rsidR="007668D0">
        <w:rPr>
          <w:b w:val="0"/>
        </w:rPr>
        <w:t xml:space="preserve">linear </w:t>
      </w:r>
      <w:r w:rsidRPr="00525415">
        <w:rPr>
          <w:b w:val="0"/>
        </w:rPr>
        <w:t xml:space="preserve">regression models. </w:t>
      </w:r>
      <w:r w:rsidR="006E0CB4">
        <w:rPr>
          <w:b w:val="0"/>
        </w:rPr>
        <w:t>These models are discussed in detail below.</w:t>
      </w:r>
    </w:p>
    <w:p w14:paraId="22124A4C" w14:textId="1C89A49F" w:rsidR="00E21AC3" w:rsidRPr="003A3426" w:rsidRDefault="00E21AC3" w:rsidP="002D2723">
      <w:pPr>
        <w:pStyle w:val="BodyText2"/>
        <w:spacing w:after="0" w:line="360" w:lineRule="auto"/>
        <w:jc w:val="both"/>
      </w:pPr>
    </w:p>
    <w:p w14:paraId="5BC021F8" w14:textId="77777777" w:rsidR="000F02C9" w:rsidRDefault="000F02C9">
      <w:pPr>
        <w:spacing w:after="200" w:line="276" w:lineRule="auto"/>
        <w:jc w:val="left"/>
        <w:rPr>
          <w:rFonts w:eastAsiaTheme="majorEastAsia"/>
          <w:bCs/>
        </w:rPr>
      </w:pPr>
      <w:bookmarkStart w:id="301" w:name="_Toc468764778"/>
      <w:bookmarkStart w:id="302" w:name="_Toc503665768"/>
      <w:bookmarkStart w:id="303" w:name="_Toc112219393"/>
      <w:bookmarkStart w:id="304" w:name="_Toc347120392"/>
      <w:r>
        <w:rPr>
          <w:b w:val="0"/>
        </w:rPr>
        <w:br w:type="page"/>
      </w:r>
    </w:p>
    <w:p w14:paraId="32B90D64" w14:textId="191F2AF8" w:rsidR="00E21AC3" w:rsidRPr="00525415" w:rsidRDefault="00E21AC3" w:rsidP="002D2723">
      <w:pPr>
        <w:pStyle w:val="Heading2"/>
        <w:spacing w:before="0"/>
        <w:jc w:val="left"/>
        <w:rPr>
          <w:rFonts w:ascii="Arial" w:hAnsi="Arial" w:cs="Arial"/>
          <w:b/>
          <w:color w:val="auto"/>
          <w:sz w:val="20"/>
          <w:szCs w:val="20"/>
        </w:rPr>
      </w:pPr>
      <w:bookmarkStart w:id="305" w:name="_Toc188257143"/>
      <w:bookmarkStart w:id="306" w:name="_Toc188257358"/>
      <w:bookmarkStart w:id="307" w:name="_Toc188257582"/>
      <w:bookmarkStart w:id="308" w:name="_Toc189162591"/>
      <w:r w:rsidRPr="00525415">
        <w:rPr>
          <w:rFonts w:ascii="Arial" w:hAnsi="Arial" w:cs="Arial"/>
          <w:b/>
          <w:color w:val="auto"/>
          <w:sz w:val="20"/>
          <w:szCs w:val="20"/>
        </w:rPr>
        <w:lastRenderedPageBreak/>
        <w:t>4.2.1</w:t>
      </w:r>
      <w:r w:rsidRPr="00525415">
        <w:rPr>
          <w:rFonts w:ascii="Arial" w:hAnsi="Arial" w:cs="Arial"/>
          <w:b/>
          <w:color w:val="auto"/>
          <w:sz w:val="20"/>
          <w:szCs w:val="20"/>
        </w:rPr>
        <w:tab/>
        <w:t>Residential Customers</w:t>
      </w:r>
      <w:bookmarkEnd w:id="301"/>
      <w:bookmarkEnd w:id="302"/>
      <w:bookmarkEnd w:id="303"/>
      <w:bookmarkEnd w:id="304"/>
      <w:bookmarkEnd w:id="305"/>
      <w:bookmarkEnd w:id="306"/>
      <w:bookmarkEnd w:id="307"/>
      <w:bookmarkEnd w:id="308"/>
    </w:p>
    <w:p w14:paraId="00438F9F" w14:textId="77777777" w:rsidR="00715024" w:rsidRDefault="00715024" w:rsidP="00715024">
      <w:pPr>
        <w:pStyle w:val="BodyText2"/>
        <w:spacing w:line="360" w:lineRule="auto"/>
        <w:jc w:val="left"/>
        <w:rPr>
          <w:b w:val="0"/>
        </w:rPr>
      </w:pPr>
    </w:p>
    <w:p w14:paraId="3AE97585" w14:textId="5C48621B" w:rsidR="00E21AC3" w:rsidRPr="00715024" w:rsidRDefault="00E21AC3" w:rsidP="00665881">
      <w:pPr>
        <w:pStyle w:val="BodyText2"/>
        <w:spacing w:line="360" w:lineRule="auto"/>
        <w:jc w:val="both"/>
        <w:rPr>
          <w:b w:val="0"/>
        </w:rPr>
      </w:pPr>
      <w:r w:rsidRPr="00715024">
        <w:rPr>
          <w:b w:val="0"/>
        </w:rPr>
        <w:t xml:space="preserve">The Georgia Power residential customer forecast was developed using </w:t>
      </w:r>
      <w:r w:rsidR="008253F0">
        <w:rPr>
          <w:b w:val="0"/>
        </w:rPr>
        <w:t xml:space="preserve">a regression </w:t>
      </w:r>
      <w:r w:rsidRPr="00715024">
        <w:rPr>
          <w:b w:val="0"/>
        </w:rPr>
        <w:t xml:space="preserve">model that </w:t>
      </w:r>
      <w:r w:rsidR="008253F0">
        <w:rPr>
          <w:b w:val="0"/>
        </w:rPr>
        <w:t xml:space="preserve">relates the annual change in customers to the number of </w:t>
      </w:r>
      <w:r w:rsidR="00C05107">
        <w:rPr>
          <w:b w:val="0"/>
        </w:rPr>
        <w:t xml:space="preserve">total </w:t>
      </w:r>
      <w:r w:rsidR="007A32CC">
        <w:rPr>
          <w:b w:val="0"/>
        </w:rPr>
        <w:t xml:space="preserve">private </w:t>
      </w:r>
      <w:r w:rsidR="008253F0">
        <w:rPr>
          <w:b w:val="0"/>
        </w:rPr>
        <w:t>Georgia hous</w:t>
      </w:r>
      <w:r w:rsidR="00AD1146">
        <w:rPr>
          <w:b w:val="0"/>
        </w:rPr>
        <w:t xml:space="preserve">ing </w:t>
      </w:r>
      <w:r w:rsidR="008253F0">
        <w:rPr>
          <w:b w:val="0"/>
        </w:rPr>
        <w:t>s</w:t>
      </w:r>
      <w:r w:rsidR="00AD1146">
        <w:rPr>
          <w:b w:val="0"/>
        </w:rPr>
        <w:t>tarts</w:t>
      </w:r>
      <w:r w:rsidR="008253F0">
        <w:rPr>
          <w:b w:val="0"/>
        </w:rPr>
        <w:t>, a</w:t>
      </w:r>
      <w:r w:rsidR="00AD1146">
        <w:rPr>
          <w:b w:val="0"/>
        </w:rPr>
        <w:t xml:space="preserve"> </w:t>
      </w:r>
      <w:r w:rsidR="00851B32">
        <w:rPr>
          <w:b w:val="0"/>
        </w:rPr>
        <w:t xml:space="preserve">Covid </w:t>
      </w:r>
      <w:r w:rsidR="00AD1146">
        <w:rPr>
          <w:b w:val="0"/>
        </w:rPr>
        <w:t>binary variable to account for the impact of Covid</w:t>
      </w:r>
      <w:r w:rsidR="00592495">
        <w:rPr>
          <w:b w:val="0"/>
        </w:rPr>
        <w:t>-</w:t>
      </w:r>
      <w:r w:rsidR="00AD1146">
        <w:rPr>
          <w:b w:val="0"/>
        </w:rPr>
        <w:t>19</w:t>
      </w:r>
      <w:r w:rsidR="00851B32">
        <w:rPr>
          <w:b w:val="0"/>
        </w:rPr>
        <w:t xml:space="preserve"> in the year 2020</w:t>
      </w:r>
      <w:r w:rsidR="00AD1146">
        <w:rPr>
          <w:b w:val="0"/>
        </w:rPr>
        <w:t xml:space="preserve">, </w:t>
      </w:r>
      <w:r w:rsidR="00851B32">
        <w:rPr>
          <w:b w:val="0"/>
        </w:rPr>
        <w:t xml:space="preserve">a recession binary variable based on the National Bureau of Economic Research’s Business Cycle Dating Committee classification of U.S. recessions, </w:t>
      </w:r>
      <w:r w:rsidR="00AD1146">
        <w:rPr>
          <w:b w:val="0"/>
        </w:rPr>
        <w:t>Geo</w:t>
      </w:r>
      <w:r w:rsidR="00ED6E2C">
        <w:rPr>
          <w:b w:val="0"/>
        </w:rPr>
        <w:t>r</w:t>
      </w:r>
      <w:r w:rsidR="00AD1146">
        <w:rPr>
          <w:b w:val="0"/>
        </w:rPr>
        <w:t xml:space="preserve">gia’s </w:t>
      </w:r>
      <w:r w:rsidR="00ED4D2B">
        <w:rPr>
          <w:b w:val="0"/>
        </w:rPr>
        <w:t xml:space="preserve">annual </w:t>
      </w:r>
      <w:r w:rsidR="00AD1146">
        <w:rPr>
          <w:b w:val="0"/>
        </w:rPr>
        <w:t>unemployment rate</w:t>
      </w:r>
      <w:r w:rsidR="008253F0">
        <w:rPr>
          <w:b w:val="0"/>
        </w:rPr>
        <w:t xml:space="preserve"> and an intercept term</w:t>
      </w:r>
      <w:r w:rsidRPr="00715024">
        <w:rPr>
          <w:b w:val="0"/>
        </w:rPr>
        <w:t xml:space="preserve">. </w:t>
      </w:r>
      <w:r w:rsidR="008253F0" w:rsidRPr="00715024">
        <w:rPr>
          <w:b w:val="0"/>
        </w:rPr>
        <w:t>The annual forecast</w:t>
      </w:r>
      <w:r w:rsidR="008253F0">
        <w:rPr>
          <w:b w:val="0"/>
        </w:rPr>
        <w:t>s</w:t>
      </w:r>
      <w:r w:rsidR="008253F0" w:rsidRPr="00715024">
        <w:rPr>
          <w:b w:val="0"/>
        </w:rPr>
        <w:t xml:space="preserve"> are then spread across the months using an estimate of the monthly historical pattern</w:t>
      </w:r>
      <w:r w:rsidR="008253F0">
        <w:rPr>
          <w:b w:val="0"/>
        </w:rPr>
        <w:t xml:space="preserve">. </w:t>
      </w:r>
      <w:r w:rsidRPr="00715024">
        <w:rPr>
          <w:b w:val="0"/>
        </w:rPr>
        <w:t>Table 4.2.1-1 presents the specific parameter estimates and statistics for the residential customer model.</w:t>
      </w:r>
    </w:p>
    <w:p w14:paraId="294E2FFC" w14:textId="77777777" w:rsidR="00E21AC3" w:rsidRDefault="00E21AC3" w:rsidP="005C27AE">
      <w:pPr>
        <w:pStyle w:val="BodyTextIndent"/>
        <w:spacing w:after="0" w:line="360" w:lineRule="auto"/>
        <w:ind w:left="0"/>
        <w:jc w:val="left"/>
      </w:pPr>
    </w:p>
    <w:p w14:paraId="37938F0B" w14:textId="77777777" w:rsidR="00715024" w:rsidRPr="00715024" w:rsidRDefault="00715024" w:rsidP="005E0B9B">
      <w:pPr>
        <w:pStyle w:val="BodyTextIndent"/>
        <w:keepNext/>
        <w:spacing w:line="360" w:lineRule="auto"/>
        <w:ind w:left="0"/>
        <w:jc w:val="left"/>
        <w:rPr>
          <w:b/>
        </w:rPr>
      </w:pPr>
      <w:r w:rsidRPr="00715024">
        <w:rPr>
          <w:b/>
        </w:rPr>
        <w:t xml:space="preserve">Table 4.2.1-1: </w:t>
      </w:r>
      <w:r w:rsidRPr="00B66236">
        <w:rPr>
          <w:b/>
        </w:rPr>
        <w:t>Residential Customers</w:t>
      </w:r>
    </w:p>
    <w:p w14:paraId="32E37130" w14:textId="22E2D175" w:rsidR="00017F25" w:rsidRPr="00017F25" w:rsidRDefault="005B5167" w:rsidP="005E0B9B">
      <w:pPr>
        <w:pStyle w:val="BodyTextIndent"/>
        <w:keepNext/>
        <w:spacing w:after="0"/>
        <w:ind w:left="0"/>
        <w:rPr>
          <w:b/>
        </w:rPr>
      </w:pPr>
      <w:r>
        <w:rPr>
          <w:b/>
        </w:rPr>
        <w:t xml:space="preserve">Residential </w:t>
      </w:r>
      <w:r w:rsidR="0067264A">
        <w:rPr>
          <w:b/>
        </w:rPr>
        <w:t xml:space="preserve">Customer </w:t>
      </w:r>
      <w:r w:rsidR="00017F25" w:rsidRPr="00017F25">
        <w:rPr>
          <w:b/>
        </w:rPr>
        <w:t>Model</w:t>
      </w:r>
    </w:p>
    <w:p w14:paraId="055E0C67" w14:textId="575F507D" w:rsidR="0022134D" w:rsidRDefault="00017F25" w:rsidP="005E0B9B">
      <w:pPr>
        <w:pStyle w:val="BodyTextIndent"/>
        <w:keepNext/>
        <w:spacing w:after="0"/>
        <w:ind w:left="0"/>
        <w:rPr>
          <w:b/>
        </w:rPr>
      </w:pPr>
      <w:r w:rsidRPr="00017F25">
        <w:rPr>
          <w:b/>
        </w:rPr>
        <w:t xml:space="preserve">Budget </w:t>
      </w:r>
      <w:r w:rsidR="006E0CB4" w:rsidRPr="00017F25">
        <w:rPr>
          <w:b/>
        </w:rPr>
        <w:t>20</w:t>
      </w:r>
      <w:r w:rsidR="006E0CB4">
        <w:rPr>
          <w:b/>
        </w:rPr>
        <w:t>25</w:t>
      </w:r>
    </w:p>
    <w:p w14:paraId="17CE9B4E" w14:textId="77777777" w:rsidR="00017F25" w:rsidRDefault="00017F25" w:rsidP="005E0B9B">
      <w:pPr>
        <w:pStyle w:val="BodyTextIndent"/>
        <w:keepNext/>
        <w:spacing w:after="0"/>
        <w:ind w:left="0"/>
      </w:pPr>
    </w:p>
    <w:p w14:paraId="6C28C551" w14:textId="0408E54D" w:rsidR="00FA78E1" w:rsidRDefault="00250F71" w:rsidP="005E0B9B">
      <w:pPr>
        <w:pStyle w:val="BodyTextIndent"/>
        <w:keepNext/>
        <w:spacing w:line="360" w:lineRule="auto"/>
        <w:ind w:left="0"/>
      </w:pPr>
      <w:r w:rsidRPr="00250F71">
        <w:rPr>
          <w:noProof/>
        </w:rPr>
        <w:drawing>
          <wp:inline distT="0" distB="0" distL="0" distR="0" wp14:anchorId="6FD74DCE" wp14:editId="4FA18C4E">
            <wp:extent cx="4230370" cy="1493520"/>
            <wp:effectExtent l="0" t="0" r="0" b="0"/>
            <wp:docPr id="167965369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230370" cy="1493520"/>
                    </a:xfrm>
                    <a:prstGeom prst="rect">
                      <a:avLst/>
                    </a:prstGeom>
                    <a:noFill/>
                    <a:ln>
                      <a:noFill/>
                    </a:ln>
                  </pic:spPr>
                </pic:pic>
              </a:graphicData>
            </a:graphic>
          </wp:inline>
        </w:drawing>
      </w:r>
    </w:p>
    <w:p w14:paraId="7326A74A" w14:textId="77777777" w:rsidR="00715024" w:rsidRDefault="00715024">
      <w:pPr>
        <w:pStyle w:val="BodyTextIndent"/>
        <w:spacing w:line="360" w:lineRule="auto"/>
        <w:ind w:left="0"/>
        <w:jc w:val="left"/>
      </w:pPr>
    </w:p>
    <w:p w14:paraId="2CECAD42" w14:textId="4975A69D" w:rsidR="00784020" w:rsidRDefault="00784020" w:rsidP="00784020">
      <w:pPr>
        <w:pStyle w:val="BodyTextIndent"/>
        <w:keepNext/>
        <w:spacing w:line="360" w:lineRule="auto"/>
        <w:ind w:left="0"/>
        <w:jc w:val="left"/>
        <w:rPr>
          <w:b/>
        </w:rPr>
      </w:pPr>
      <w:r w:rsidRPr="00784020">
        <w:rPr>
          <w:b/>
        </w:rPr>
        <w:t xml:space="preserve">Where: </w:t>
      </w:r>
    </w:p>
    <w:p w14:paraId="46B2FCA2" w14:textId="5D1DCA9C" w:rsidR="006E0CB4" w:rsidRDefault="006E0CB4" w:rsidP="007C0D7D">
      <w:pPr>
        <w:pStyle w:val="BodyTextIndent"/>
        <w:keepNext/>
        <w:spacing w:after="0" w:line="360" w:lineRule="auto"/>
        <w:ind w:left="0"/>
        <w:jc w:val="left"/>
        <w:rPr>
          <w:b/>
        </w:rPr>
      </w:pPr>
      <w:r w:rsidRPr="006E0CB4">
        <w:rPr>
          <w:b/>
          <w:noProof/>
        </w:rPr>
        <w:drawing>
          <wp:inline distT="0" distB="0" distL="0" distR="0" wp14:anchorId="4EE4BE51" wp14:editId="78EAA736">
            <wp:extent cx="5391150" cy="1495425"/>
            <wp:effectExtent l="0" t="0" r="0" b="9525"/>
            <wp:docPr id="102004596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91150" cy="1495425"/>
                    </a:xfrm>
                    <a:prstGeom prst="rect">
                      <a:avLst/>
                    </a:prstGeom>
                    <a:noFill/>
                    <a:ln>
                      <a:noFill/>
                    </a:ln>
                  </pic:spPr>
                </pic:pic>
              </a:graphicData>
            </a:graphic>
          </wp:inline>
        </w:drawing>
      </w:r>
    </w:p>
    <w:p w14:paraId="62F91069" w14:textId="77777777" w:rsidR="00784020" w:rsidRDefault="00784020" w:rsidP="003E220D">
      <w:pPr>
        <w:pStyle w:val="BodyTextIndent"/>
        <w:keepNext/>
        <w:spacing w:after="0" w:line="360" w:lineRule="auto"/>
        <w:ind w:left="0"/>
      </w:pPr>
      <w:bookmarkStart w:id="309" w:name="_Toc503665770"/>
      <w:bookmarkStart w:id="310" w:name="_Toc112219395"/>
      <w:bookmarkStart w:id="311" w:name="_Toc347120394"/>
    </w:p>
    <w:p w14:paraId="07F7878E" w14:textId="77777777" w:rsidR="00715024" w:rsidRPr="00715024" w:rsidRDefault="00715024" w:rsidP="00715024">
      <w:pPr>
        <w:pStyle w:val="Heading2"/>
        <w:jc w:val="left"/>
        <w:rPr>
          <w:rFonts w:ascii="Arial" w:hAnsi="Arial" w:cs="Arial"/>
          <w:b/>
          <w:color w:val="auto"/>
          <w:sz w:val="20"/>
          <w:szCs w:val="20"/>
        </w:rPr>
      </w:pPr>
      <w:bookmarkStart w:id="312" w:name="_Toc188257144"/>
      <w:bookmarkStart w:id="313" w:name="_Toc188257359"/>
      <w:bookmarkStart w:id="314" w:name="_Toc188257583"/>
      <w:bookmarkStart w:id="315" w:name="_Toc189162592"/>
      <w:r w:rsidRPr="00715024">
        <w:rPr>
          <w:rFonts w:ascii="Arial" w:hAnsi="Arial" w:cs="Arial"/>
          <w:b/>
          <w:color w:val="auto"/>
          <w:sz w:val="20"/>
          <w:szCs w:val="20"/>
        </w:rPr>
        <w:t>4.2.2</w:t>
      </w:r>
      <w:r w:rsidRPr="00715024">
        <w:rPr>
          <w:rFonts w:ascii="Arial" w:hAnsi="Arial" w:cs="Arial"/>
          <w:b/>
          <w:color w:val="auto"/>
          <w:sz w:val="20"/>
          <w:szCs w:val="20"/>
        </w:rPr>
        <w:tab/>
        <w:t>Commercial Customers</w:t>
      </w:r>
      <w:bookmarkEnd w:id="309"/>
      <w:bookmarkEnd w:id="310"/>
      <w:bookmarkEnd w:id="311"/>
      <w:bookmarkEnd w:id="312"/>
      <w:bookmarkEnd w:id="313"/>
      <w:bookmarkEnd w:id="314"/>
      <w:bookmarkEnd w:id="315"/>
    </w:p>
    <w:p w14:paraId="3E180C48" w14:textId="77777777" w:rsidR="00715024" w:rsidRDefault="00715024" w:rsidP="00715024">
      <w:pPr>
        <w:pStyle w:val="BodyText2"/>
        <w:spacing w:line="360" w:lineRule="auto"/>
        <w:jc w:val="left"/>
        <w:rPr>
          <w:b w:val="0"/>
        </w:rPr>
      </w:pPr>
    </w:p>
    <w:p w14:paraId="3FBE432D" w14:textId="32D4967C" w:rsidR="0051315E" w:rsidRPr="0051315E" w:rsidRDefault="00DE4850" w:rsidP="001A209D">
      <w:pPr>
        <w:pStyle w:val="BodyText2"/>
        <w:spacing w:after="0" w:line="360" w:lineRule="auto"/>
        <w:jc w:val="both"/>
        <w:rPr>
          <w:b w:val="0"/>
          <w:bCs/>
        </w:rPr>
      </w:pPr>
      <w:r>
        <w:rPr>
          <w:b w:val="0"/>
        </w:rPr>
        <w:t>T</w:t>
      </w:r>
      <w:r w:rsidR="00715024" w:rsidRPr="00715024">
        <w:rPr>
          <w:b w:val="0"/>
        </w:rPr>
        <w:t xml:space="preserve">he Georgia Power commercial customer forecast </w:t>
      </w:r>
      <w:r w:rsidR="008253F0">
        <w:rPr>
          <w:b w:val="0"/>
        </w:rPr>
        <w:t>uses the annual change in customers</w:t>
      </w:r>
      <w:r w:rsidR="0051315E">
        <w:rPr>
          <w:b w:val="0"/>
        </w:rPr>
        <w:t>, excluding Unmetered Devices</w:t>
      </w:r>
      <w:r w:rsidR="000C1AC2">
        <w:rPr>
          <w:b w:val="0"/>
        </w:rPr>
        <w:t>,</w:t>
      </w:r>
      <w:r w:rsidR="0051315E">
        <w:rPr>
          <w:b w:val="0"/>
        </w:rPr>
        <w:t xml:space="preserve"> as the dependent variable. Unmetered Device accounts are excluded from total commercial customers because they consume much less energy than a typical commercial customer.</w:t>
      </w:r>
      <w:r w:rsidR="0051315E">
        <w:t> </w:t>
      </w:r>
      <w:r w:rsidR="0051315E" w:rsidRPr="00947843">
        <w:rPr>
          <w:b w:val="0"/>
          <w:bCs/>
        </w:rPr>
        <w:t xml:space="preserve">By </w:t>
      </w:r>
      <w:r w:rsidR="0051315E" w:rsidRPr="00947843">
        <w:rPr>
          <w:b w:val="0"/>
          <w:bCs/>
        </w:rPr>
        <w:lastRenderedPageBreak/>
        <w:t>excluding U</w:t>
      </w:r>
      <w:r w:rsidR="00DD4010">
        <w:rPr>
          <w:b w:val="0"/>
          <w:bCs/>
        </w:rPr>
        <w:t>n</w:t>
      </w:r>
      <w:r w:rsidR="0051315E">
        <w:rPr>
          <w:b w:val="0"/>
          <w:bCs/>
        </w:rPr>
        <w:t xml:space="preserve">metered </w:t>
      </w:r>
      <w:r w:rsidR="0051315E" w:rsidRPr="00947843">
        <w:rPr>
          <w:b w:val="0"/>
          <w:bCs/>
        </w:rPr>
        <w:t>D</w:t>
      </w:r>
      <w:r w:rsidR="0051315E">
        <w:rPr>
          <w:b w:val="0"/>
          <w:bCs/>
        </w:rPr>
        <w:t>evices</w:t>
      </w:r>
      <w:r w:rsidR="0051315E" w:rsidRPr="00947843">
        <w:rPr>
          <w:b w:val="0"/>
          <w:bCs/>
        </w:rPr>
        <w:t xml:space="preserve">, </w:t>
      </w:r>
      <w:r w:rsidR="0051315E" w:rsidRPr="008E1547">
        <w:rPr>
          <w:b w:val="0"/>
          <w:bCs/>
        </w:rPr>
        <w:t>the true growth of typical commercial customer</w:t>
      </w:r>
      <w:r w:rsidR="00DD4010">
        <w:rPr>
          <w:b w:val="0"/>
          <w:bCs/>
        </w:rPr>
        <w:t xml:space="preserve">s </w:t>
      </w:r>
      <w:r w:rsidR="0051315E">
        <w:rPr>
          <w:b w:val="0"/>
          <w:bCs/>
        </w:rPr>
        <w:t xml:space="preserve">is </w:t>
      </w:r>
      <w:r w:rsidR="0051315E" w:rsidRPr="00947843">
        <w:rPr>
          <w:b w:val="0"/>
          <w:bCs/>
        </w:rPr>
        <w:t>capture</w:t>
      </w:r>
      <w:r w:rsidR="00DD4010">
        <w:rPr>
          <w:b w:val="0"/>
          <w:bCs/>
        </w:rPr>
        <w:t>d</w:t>
      </w:r>
      <w:r w:rsidR="0051315E" w:rsidRPr="00947843">
        <w:rPr>
          <w:b w:val="0"/>
          <w:bCs/>
        </w:rPr>
        <w:t>. </w:t>
      </w:r>
      <w:r w:rsidR="00DD4010">
        <w:rPr>
          <w:b w:val="0"/>
          <w:bCs/>
        </w:rPr>
        <w:t>As a result,</w:t>
      </w:r>
      <w:r w:rsidR="0051315E" w:rsidRPr="00947843">
        <w:rPr>
          <w:b w:val="0"/>
          <w:bCs/>
        </w:rPr>
        <w:t xml:space="preserve"> when </w:t>
      </w:r>
      <w:r w:rsidR="00DD4010">
        <w:rPr>
          <w:b w:val="0"/>
          <w:bCs/>
        </w:rPr>
        <w:t xml:space="preserve">commercial use per customer results are multiplied by </w:t>
      </w:r>
      <w:r w:rsidR="00750E65">
        <w:rPr>
          <w:b w:val="0"/>
          <w:bCs/>
        </w:rPr>
        <w:t xml:space="preserve">the number of </w:t>
      </w:r>
      <w:r w:rsidR="0051315E" w:rsidRPr="00947843">
        <w:rPr>
          <w:b w:val="0"/>
          <w:bCs/>
        </w:rPr>
        <w:t>customer</w:t>
      </w:r>
      <w:r w:rsidR="00DD4010">
        <w:rPr>
          <w:b w:val="0"/>
          <w:bCs/>
        </w:rPr>
        <w:t>s</w:t>
      </w:r>
      <w:r w:rsidR="0051315E" w:rsidRPr="00947843">
        <w:rPr>
          <w:b w:val="0"/>
          <w:bCs/>
        </w:rPr>
        <w:t xml:space="preserve">, </w:t>
      </w:r>
      <w:r w:rsidR="00DD4010">
        <w:rPr>
          <w:b w:val="0"/>
          <w:bCs/>
        </w:rPr>
        <w:t xml:space="preserve">the </w:t>
      </w:r>
      <w:r w:rsidR="0051315E" w:rsidRPr="00947843">
        <w:rPr>
          <w:b w:val="0"/>
          <w:bCs/>
        </w:rPr>
        <w:t xml:space="preserve">forecast </w:t>
      </w:r>
      <w:r w:rsidR="00DD4010">
        <w:rPr>
          <w:b w:val="0"/>
          <w:bCs/>
        </w:rPr>
        <w:t xml:space="preserve">of </w:t>
      </w:r>
      <w:r w:rsidR="0051315E" w:rsidRPr="00947843">
        <w:rPr>
          <w:b w:val="0"/>
          <w:bCs/>
        </w:rPr>
        <w:t>commercial energy</w:t>
      </w:r>
      <w:r w:rsidR="00DD4010">
        <w:rPr>
          <w:b w:val="0"/>
          <w:bCs/>
        </w:rPr>
        <w:t xml:space="preserve"> is not overstated</w:t>
      </w:r>
      <w:r w:rsidR="0051315E" w:rsidRPr="00947843">
        <w:rPr>
          <w:b w:val="0"/>
          <w:bCs/>
        </w:rPr>
        <w:t>.</w:t>
      </w:r>
      <w:r w:rsidR="008253F0" w:rsidRPr="0051315E">
        <w:rPr>
          <w:b w:val="0"/>
          <w:bCs/>
        </w:rPr>
        <w:t xml:space="preserve"> </w:t>
      </w:r>
    </w:p>
    <w:p w14:paraId="741E2CAA" w14:textId="77777777" w:rsidR="0051315E" w:rsidRDefault="0051315E" w:rsidP="00657FED">
      <w:pPr>
        <w:pStyle w:val="BodyText2"/>
        <w:spacing w:after="0" w:line="360" w:lineRule="auto"/>
        <w:jc w:val="both"/>
        <w:rPr>
          <w:b w:val="0"/>
        </w:rPr>
      </w:pPr>
    </w:p>
    <w:p w14:paraId="74933054" w14:textId="5BD26B51" w:rsidR="0051315E" w:rsidRPr="00715024" w:rsidRDefault="00212B99" w:rsidP="00665881">
      <w:pPr>
        <w:pStyle w:val="BodyText2"/>
        <w:spacing w:line="360" w:lineRule="auto"/>
        <w:jc w:val="both"/>
        <w:rPr>
          <w:b w:val="0"/>
        </w:rPr>
      </w:pPr>
      <w:r>
        <w:rPr>
          <w:b w:val="0"/>
        </w:rPr>
        <w:t xml:space="preserve">The commercial customer </w:t>
      </w:r>
      <w:r w:rsidR="00715024" w:rsidRPr="00715024">
        <w:rPr>
          <w:b w:val="0"/>
        </w:rPr>
        <w:t xml:space="preserve">regression model includes </w:t>
      </w:r>
      <w:r w:rsidR="00750E65">
        <w:rPr>
          <w:b w:val="0"/>
        </w:rPr>
        <w:t xml:space="preserve">two independent variables: </w:t>
      </w:r>
      <w:r w:rsidR="004E23A7">
        <w:rPr>
          <w:b w:val="0"/>
        </w:rPr>
        <w:t xml:space="preserve">the </w:t>
      </w:r>
      <w:r w:rsidR="00C05107">
        <w:rPr>
          <w:b w:val="0"/>
        </w:rPr>
        <w:t xml:space="preserve">number of total </w:t>
      </w:r>
      <w:r w:rsidR="00592495">
        <w:rPr>
          <w:b w:val="0"/>
        </w:rPr>
        <w:t xml:space="preserve">private </w:t>
      </w:r>
      <w:r w:rsidR="00C05107">
        <w:rPr>
          <w:b w:val="0"/>
        </w:rPr>
        <w:t xml:space="preserve">housing starts </w:t>
      </w:r>
      <w:r w:rsidR="004E23A7">
        <w:rPr>
          <w:b w:val="0"/>
        </w:rPr>
        <w:t>in</w:t>
      </w:r>
      <w:r w:rsidR="00715024" w:rsidRPr="00715024">
        <w:rPr>
          <w:b w:val="0"/>
        </w:rPr>
        <w:t xml:space="preserve"> </w:t>
      </w:r>
      <w:r w:rsidR="00A513BE">
        <w:rPr>
          <w:b w:val="0"/>
        </w:rPr>
        <w:t>Georgia</w:t>
      </w:r>
      <w:r w:rsidR="00C05107">
        <w:rPr>
          <w:b w:val="0"/>
        </w:rPr>
        <w:t xml:space="preserve"> and a recession binary variable for years that include a recession</w:t>
      </w:r>
      <w:r w:rsidR="00715024" w:rsidRPr="00715024">
        <w:rPr>
          <w:b w:val="0"/>
        </w:rPr>
        <w:t xml:space="preserve">. </w:t>
      </w:r>
      <w:r w:rsidR="00592495">
        <w:rPr>
          <w:b w:val="0"/>
        </w:rPr>
        <w:t xml:space="preserve">Both of these variables are the same as the ones used in the residential customer model. </w:t>
      </w:r>
      <w:r w:rsidR="00715024" w:rsidRPr="00715024">
        <w:rPr>
          <w:b w:val="0"/>
        </w:rPr>
        <w:t>The annual</w:t>
      </w:r>
      <w:r w:rsidR="00750E65">
        <w:rPr>
          <w:b w:val="0"/>
        </w:rPr>
        <w:t xml:space="preserve"> </w:t>
      </w:r>
      <w:r w:rsidR="00715024" w:rsidRPr="00715024">
        <w:rPr>
          <w:b w:val="0"/>
        </w:rPr>
        <w:t>forecast</w:t>
      </w:r>
      <w:r w:rsidR="00CB5595">
        <w:rPr>
          <w:b w:val="0"/>
        </w:rPr>
        <w:t>s</w:t>
      </w:r>
      <w:r w:rsidR="00715024" w:rsidRPr="00715024">
        <w:rPr>
          <w:b w:val="0"/>
        </w:rPr>
        <w:t xml:space="preserve"> are then spread across the months using an estimate of the monthly historical pattern. Table 4.2.2-1 presents the specific parameter estimates and statistics for the commercial customer model.</w:t>
      </w:r>
    </w:p>
    <w:p w14:paraId="69EF745C" w14:textId="77777777" w:rsidR="00715024" w:rsidRPr="003A3426" w:rsidRDefault="00715024" w:rsidP="004967B3">
      <w:pPr>
        <w:spacing w:before="240"/>
      </w:pPr>
    </w:p>
    <w:p w14:paraId="224FDABF" w14:textId="77777777" w:rsidR="00715024" w:rsidRDefault="00715024" w:rsidP="005E0B9B">
      <w:pPr>
        <w:pStyle w:val="BodyTextIndent"/>
        <w:keepNext/>
        <w:spacing w:line="360" w:lineRule="auto"/>
        <w:ind w:left="0"/>
        <w:jc w:val="left"/>
        <w:rPr>
          <w:b/>
        </w:rPr>
      </w:pPr>
      <w:r w:rsidRPr="00715024">
        <w:rPr>
          <w:b/>
        </w:rPr>
        <w:t xml:space="preserve">Table 4.2.2-1: </w:t>
      </w:r>
      <w:r w:rsidRPr="00B66236">
        <w:rPr>
          <w:b/>
        </w:rPr>
        <w:t>Commercial Customers</w:t>
      </w:r>
    </w:p>
    <w:p w14:paraId="6C878562" w14:textId="1B7C70C4" w:rsidR="0067264A" w:rsidRPr="00017F25" w:rsidRDefault="005B5167" w:rsidP="005E0B9B">
      <w:pPr>
        <w:pStyle w:val="BodyTextIndent"/>
        <w:keepNext/>
        <w:spacing w:after="0"/>
        <w:ind w:left="0"/>
        <w:rPr>
          <w:b/>
        </w:rPr>
      </w:pPr>
      <w:r>
        <w:rPr>
          <w:b/>
        </w:rPr>
        <w:t xml:space="preserve">Commercial </w:t>
      </w:r>
      <w:r w:rsidR="0067264A">
        <w:rPr>
          <w:b/>
        </w:rPr>
        <w:t xml:space="preserve">Customer </w:t>
      </w:r>
      <w:r w:rsidR="0067264A" w:rsidRPr="00017F25">
        <w:rPr>
          <w:b/>
        </w:rPr>
        <w:t>Model</w:t>
      </w:r>
    </w:p>
    <w:p w14:paraId="2615030E" w14:textId="1068495A" w:rsidR="0067264A" w:rsidRDefault="0067264A" w:rsidP="005E0B9B">
      <w:pPr>
        <w:pStyle w:val="BodyTextIndent"/>
        <w:keepNext/>
        <w:spacing w:after="0"/>
        <w:ind w:left="0"/>
        <w:rPr>
          <w:b/>
        </w:rPr>
      </w:pPr>
      <w:r w:rsidRPr="00017F25">
        <w:rPr>
          <w:b/>
        </w:rPr>
        <w:t xml:space="preserve">Budget </w:t>
      </w:r>
      <w:r w:rsidR="006E0CB4" w:rsidRPr="00017F25">
        <w:rPr>
          <w:b/>
        </w:rPr>
        <w:t>20</w:t>
      </w:r>
      <w:r w:rsidR="006E0CB4">
        <w:rPr>
          <w:b/>
        </w:rPr>
        <w:t>25</w:t>
      </w:r>
    </w:p>
    <w:p w14:paraId="0F22ECB5" w14:textId="14583B75" w:rsidR="0067264A" w:rsidRDefault="0067264A" w:rsidP="005E0B9B">
      <w:pPr>
        <w:pStyle w:val="BodyTextIndent"/>
        <w:keepNext/>
        <w:spacing w:after="0"/>
        <w:ind w:left="0"/>
      </w:pPr>
    </w:p>
    <w:p w14:paraId="17EDADAE" w14:textId="18D4782A" w:rsidR="003F25FB" w:rsidRDefault="004550FB" w:rsidP="005E0B9B">
      <w:pPr>
        <w:pStyle w:val="BodyTextIndent"/>
        <w:keepNext/>
        <w:spacing w:after="0"/>
        <w:ind w:left="0"/>
      </w:pPr>
      <w:r w:rsidRPr="004550FB">
        <w:rPr>
          <w:b/>
          <w:noProof/>
        </w:rPr>
        <w:drawing>
          <wp:inline distT="0" distB="0" distL="0" distR="0" wp14:anchorId="3A5BF6DC" wp14:editId="6E7D9D41">
            <wp:extent cx="3925570" cy="963295"/>
            <wp:effectExtent l="0" t="0" r="0" b="8255"/>
            <wp:docPr id="94231814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25570" cy="963295"/>
                    </a:xfrm>
                    <a:prstGeom prst="rect">
                      <a:avLst/>
                    </a:prstGeom>
                    <a:noFill/>
                    <a:ln>
                      <a:noFill/>
                    </a:ln>
                  </pic:spPr>
                </pic:pic>
              </a:graphicData>
            </a:graphic>
          </wp:inline>
        </w:drawing>
      </w:r>
      <w:r w:rsidR="00616255">
        <w:rPr>
          <w:b/>
        </w:rPr>
        <w:t xml:space="preserve"> </w:t>
      </w:r>
    </w:p>
    <w:p w14:paraId="50FDCBE2" w14:textId="77777777" w:rsidR="003F25FB" w:rsidRDefault="003F25FB" w:rsidP="005E0B9B">
      <w:pPr>
        <w:pStyle w:val="BodyTextIndent"/>
        <w:keepNext/>
        <w:spacing w:after="0"/>
        <w:ind w:left="0"/>
      </w:pPr>
    </w:p>
    <w:p w14:paraId="1D8D14B0" w14:textId="77777777" w:rsidR="00212B99" w:rsidRDefault="00212B99" w:rsidP="009E6EB0">
      <w:pPr>
        <w:pStyle w:val="BodyTextIndent"/>
        <w:spacing w:line="360" w:lineRule="auto"/>
        <w:ind w:left="0"/>
        <w:jc w:val="left"/>
        <w:rPr>
          <w:b/>
        </w:rPr>
      </w:pPr>
    </w:p>
    <w:p w14:paraId="1F11FBF1" w14:textId="18C5AC2E" w:rsidR="003F25FB" w:rsidRDefault="00531FB9" w:rsidP="009E6EB0">
      <w:pPr>
        <w:pStyle w:val="BodyTextIndent"/>
        <w:spacing w:line="360" w:lineRule="auto"/>
        <w:ind w:left="0"/>
        <w:jc w:val="left"/>
      </w:pPr>
      <w:r>
        <w:rPr>
          <w:b/>
        </w:rPr>
        <w:t>Where:</w:t>
      </w:r>
      <w:r w:rsidR="005B5167" w:rsidRPr="005B5167">
        <w:t xml:space="preserve"> </w:t>
      </w:r>
    </w:p>
    <w:p w14:paraId="1FA211DB" w14:textId="4A00FA0B" w:rsidR="00F67F46" w:rsidRDefault="00F67F46" w:rsidP="007C0D7D">
      <w:pPr>
        <w:pStyle w:val="BodyTextIndent"/>
        <w:spacing w:after="0" w:line="360" w:lineRule="auto"/>
        <w:ind w:left="0"/>
        <w:jc w:val="left"/>
        <w:rPr>
          <w:b/>
        </w:rPr>
      </w:pPr>
      <w:r w:rsidRPr="00F67F46">
        <w:rPr>
          <w:b/>
          <w:noProof/>
        </w:rPr>
        <w:drawing>
          <wp:inline distT="0" distB="0" distL="0" distR="0" wp14:anchorId="7D4EC82D" wp14:editId="27703B02">
            <wp:extent cx="5852160" cy="1005840"/>
            <wp:effectExtent l="0" t="0" r="0" b="381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852160" cy="1005840"/>
                    </a:xfrm>
                    <a:prstGeom prst="rect">
                      <a:avLst/>
                    </a:prstGeom>
                    <a:noFill/>
                    <a:ln>
                      <a:noFill/>
                    </a:ln>
                  </pic:spPr>
                </pic:pic>
              </a:graphicData>
            </a:graphic>
          </wp:inline>
        </w:drawing>
      </w:r>
    </w:p>
    <w:p w14:paraId="5BC086B2" w14:textId="726B1B3A" w:rsidR="00F67F46" w:rsidRDefault="00F67F46" w:rsidP="00657FED">
      <w:pPr>
        <w:spacing w:before="240" w:line="276" w:lineRule="auto"/>
        <w:jc w:val="left"/>
        <w:rPr>
          <w:rFonts w:eastAsiaTheme="majorEastAsia"/>
          <w:bCs/>
        </w:rPr>
      </w:pPr>
      <w:bookmarkStart w:id="316" w:name="_Toc347120396"/>
    </w:p>
    <w:p w14:paraId="20D3D427" w14:textId="10244D92" w:rsidR="00715024" w:rsidRPr="00715024" w:rsidRDefault="00715024" w:rsidP="00715024">
      <w:pPr>
        <w:pStyle w:val="Heading2"/>
        <w:jc w:val="left"/>
        <w:rPr>
          <w:rFonts w:ascii="Arial" w:hAnsi="Arial" w:cs="Arial"/>
          <w:b/>
          <w:color w:val="auto"/>
          <w:sz w:val="20"/>
          <w:szCs w:val="20"/>
        </w:rPr>
      </w:pPr>
      <w:bookmarkStart w:id="317" w:name="_Toc188257145"/>
      <w:bookmarkStart w:id="318" w:name="_Toc188257360"/>
      <w:bookmarkStart w:id="319" w:name="_Toc188257584"/>
      <w:bookmarkStart w:id="320" w:name="_Toc189162593"/>
      <w:r w:rsidRPr="00715024">
        <w:rPr>
          <w:rFonts w:ascii="Arial" w:hAnsi="Arial" w:cs="Arial"/>
          <w:b/>
          <w:color w:val="auto"/>
          <w:sz w:val="20"/>
          <w:szCs w:val="20"/>
        </w:rPr>
        <w:t>4.2.3</w:t>
      </w:r>
      <w:r w:rsidRPr="00715024">
        <w:rPr>
          <w:rFonts w:ascii="Arial" w:hAnsi="Arial" w:cs="Arial"/>
          <w:b/>
          <w:color w:val="auto"/>
          <w:sz w:val="20"/>
          <w:szCs w:val="20"/>
        </w:rPr>
        <w:tab/>
        <w:t>Industrial Customers</w:t>
      </w:r>
      <w:bookmarkEnd w:id="316"/>
      <w:bookmarkEnd w:id="317"/>
      <w:bookmarkEnd w:id="318"/>
      <w:bookmarkEnd w:id="319"/>
      <w:bookmarkEnd w:id="320"/>
    </w:p>
    <w:p w14:paraId="797EB0D5" w14:textId="77777777" w:rsidR="00715024" w:rsidRDefault="00715024" w:rsidP="00715024">
      <w:pPr>
        <w:pStyle w:val="BodyText"/>
        <w:spacing w:line="360" w:lineRule="auto"/>
        <w:jc w:val="left"/>
        <w:rPr>
          <w:b w:val="0"/>
        </w:rPr>
      </w:pPr>
    </w:p>
    <w:p w14:paraId="0C52E553" w14:textId="036972E1" w:rsidR="00715024" w:rsidRPr="00715024" w:rsidRDefault="00715024" w:rsidP="00157BCD">
      <w:pPr>
        <w:pStyle w:val="BodyText"/>
        <w:spacing w:line="360" w:lineRule="auto"/>
        <w:jc w:val="both"/>
        <w:rPr>
          <w:b w:val="0"/>
        </w:rPr>
      </w:pPr>
      <w:r w:rsidRPr="00715024">
        <w:rPr>
          <w:b w:val="0"/>
        </w:rPr>
        <w:t xml:space="preserve">The Georgia Power industrial </w:t>
      </w:r>
      <w:r w:rsidR="00802564">
        <w:rPr>
          <w:b w:val="0"/>
        </w:rPr>
        <w:t xml:space="preserve">monthly </w:t>
      </w:r>
      <w:r w:rsidRPr="00715024">
        <w:rPr>
          <w:b w:val="0"/>
        </w:rPr>
        <w:t xml:space="preserve">customer forecast was developed using a regression model, with a one-month lag of customers as the explanatory variable. Table 4.2.3-1 presents the specific parameter estimates and statistics for the industrial customer model. </w:t>
      </w:r>
    </w:p>
    <w:p w14:paraId="5C44D7FE" w14:textId="232EEBC6" w:rsidR="004967B3" w:rsidRDefault="004967B3" w:rsidP="00B60E77">
      <w:pPr>
        <w:spacing w:line="276" w:lineRule="auto"/>
        <w:jc w:val="left"/>
      </w:pPr>
    </w:p>
    <w:p w14:paraId="0F9E9EDD" w14:textId="77777777" w:rsidR="001C1759" w:rsidRDefault="001C1759">
      <w:pPr>
        <w:spacing w:after="200" w:line="276" w:lineRule="auto"/>
        <w:jc w:val="left"/>
      </w:pPr>
      <w:r>
        <w:rPr>
          <w:b w:val="0"/>
        </w:rPr>
        <w:br w:type="page"/>
      </w:r>
    </w:p>
    <w:p w14:paraId="6BEF9B84" w14:textId="09049396" w:rsidR="00715024" w:rsidRDefault="00715024">
      <w:pPr>
        <w:pStyle w:val="BodyTextIndent"/>
        <w:spacing w:line="360" w:lineRule="auto"/>
        <w:ind w:left="0"/>
        <w:jc w:val="left"/>
        <w:rPr>
          <w:b/>
        </w:rPr>
      </w:pPr>
      <w:r w:rsidRPr="00715024">
        <w:rPr>
          <w:b/>
        </w:rPr>
        <w:lastRenderedPageBreak/>
        <w:t>Table 4.2.3-</w:t>
      </w:r>
      <w:r w:rsidR="004E24E4">
        <w:rPr>
          <w:b/>
        </w:rPr>
        <w:t>1</w:t>
      </w:r>
      <w:r w:rsidRPr="00715024">
        <w:rPr>
          <w:b/>
        </w:rPr>
        <w:t xml:space="preserve">: </w:t>
      </w:r>
      <w:r w:rsidRPr="00B66236">
        <w:rPr>
          <w:b/>
        </w:rPr>
        <w:t>Industrial Customers</w:t>
      </w:r>
    </w:p>
    <w:p w14:paraId="622E11C2" w14:textId="343EA63E" w:rsidR="0067264A" w:rsidRPr="00017F25" w:rsidRDefault="005B5167" w:rsidP="0067264A">
      <w:pPr>
        <w:pStyle w:val="BodyTextIndent"/>
        <w:spacing w:after="0"/>
        <w:ind w:left="0"/>
        <w:rPr>
          <w:b/>
        </w:rPr>
      </w:pPr>
      <w:r>
        <w:rPr>
          <w:b/>
        </w:rPr>
        <w:t xml:space="preserve">Industrial </w:t>
      </w:r>
      <w:r w:rsidR="0067264A">
        <w:rPr>
          <w:b/>
        </w:rPr>
        <w:t xml:space="preserve">Customer </w:t>
      </w:r>
      <w:r w:rsidR="0067264A" w:rsidRPr="00017F25">
        <w:rPr>
          <w:b/>
        </w:rPr>
        <w:t>Model</w:t>
      </w:r>
    </w:p>
    <w:p w14:paraId="1C6C3498" w14:textId="519A4FEC" w:rsidR="0067264A" w:rsidRDefault="0067264A" w:rsidP="0067264A">
      <w:pPr>
        <w:pStyle w:val="BodyTextIndent"/>
        <w:spacing w:after="0"/>
        <w:ind w:left="0"/>
        <w:rPr>
          <w:b/>
        </w:rPr>
      </w:pPr>
      <w:r w:rsidRPr="00017F25">
        <w:rPr>
          <w:b/>
        </w:rPr>
        <w:t xml:space="preserve">Budget </w:t>
      </w:r>
      <w:r w:rsidR="00B60E77" w:rsidRPr="00017F25">
        <w:rPr>
          <w:b/>
        </w:rPr>
        <w:t>20</w:t>
      </w:r>
      <w:r w:rsidR="00B60E77">
        <w:rPr>
          <w:b/>
        </w:rPr>
        <w:t>25</w:t>
      </w:r>
    </w:p>
    <w:p w14:paraId="7E2A5B05" w14:textId="6762A56F" w:rsidR="0067264A" w:rsidRDefault="0067264A" w:rsidP="0067264A">
      <w:pPr>
        <w:pStyle w:val="BodyTextIndent"/>
        <w:spacing w:after="0"/>
        <w:ind w:left="0"/>
      </w:pPr>
    </w:p>
    <w:p w14:paraId="4E717661" w14:textId="01496D30" w:rsidR="00AE00AC" w:rsidRDefault="00F67F46" w:rsidP="0067264A">
      <w:pPr>
        <w:pStyle w:val="BodyTextIndent"/>
        <w:spacing w:after="0"/>
        <w:ind w:left="0"/>
      </w:pPr>
      <w:r w:rsidRPr="00F67F46">
        <w:rPr>
          <w:b/>
        </w:rPr>
        <w:t xml:space="preserve"> </w:t>
      </w:r>
      <w:r w:rsidR="00801BAE" w:rsidRPr="00801BAE">
        <w:rPr>
          <w:b/>
          <w:noProof/>
        </w:rPr>
        <w:drawing>
          <wp:inline distT="0" distB="0" distL="0" distR="0" wp14:anchorId="100F2E80" wp14:editId="20CEB282">
            <wp:extent cx="4230370" cy="731520"/>
            <wp:effectExtent l="0" t="0" r="0" b="0"/>
            <wp:docPr id="6059191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230370" cy="731520"/>
                    </a:xfrm>
                    <a:prstGeom prst="rect">
                      <a:avLst/>
                    </a:prstGeom>
                    <a:noFill/>
                    <a:ln>
                      <a:noFill/>
                    </a:ln>
                  </pic:spPr>
                </pic:pic>
              </a:graphicData>
            </a:graphic>
          </wp:inline>
        </w:drawing>
      </w:r>
    </w:p>
    <w:p w14:paraId="482818C4" w14:textId="045CCC1C" w:rsidR="00AE00AC" w:rsidRDefault="00AE00AC" w:rsidP="0067264A">
      <w:pPr>
        <w:pStyle w:val="BodyTextIndent"/>
        <w:spacing w:after="0"/>
        <w:ind w:left="0"/>
      </w:pPr>
    </w:p>
    <w:p w14:paraId="770F0E9B" w14:textId="17B0589B" w:rsidR="00926A04" w:rsidRDefault="00926A04" w:rsidP="0067264A">
      <w:pPr>
        <w:pStyle w:val="BodyTextIndent"/>
        <w:spacing w:after="0"/>
        <w:ind w:left="0"/>
      </w:pPr>
    </w:p>
    <w:p w14:paraId="6343F55E" w14:textId="77777777" w:rsidR="00926A04" w:rsidRDefault="00926A04" w:rsidP="0067264A">
      <w:pPr>
        <w:pStyle w:val="BodyTextIndent"/>
        <w:spacing w:after="0"/>
        <w:ind w:left="0"/>
      </w:pPr>
    </w:p>
    <w:p w14:paraId="35C26CD4" w14:textId="34F861A0" w:rsidR="00E14431" w:rsidRDefault="00E14431" w:rsidP="0067264A">
      <w:pPr>
        <w:pStyle w:val="BodyTextIndent"/>
        <w:spacing w:line="360" w:lineRule="auto"/>
        <w:ind w:left="0"/>
        <w:jc w:val="left"/>
        <w:rPr>
          <w:b/>
        </w:rPr>
      </w:pPr>
      <w:r w:rsidRPr="00E14431">
        <w:rPr>
          <w:b/>
        </w:rPr>
        <w:t>Where:</w:t>
      </w:r>
    </w:p>
    <w:p w14:paraId="74CC0BA2" w14:textId="6DC99E45" w:rsidR="004B1576" w:rsidRDefault="00B60E77" w:rsidP="00F11E72">
      <w:pPr>
        <w:pStyle w:val="BodyTextIndent"/>
        <w:spacing w:line="360" w:lineRule="auto"/>
        <w:ind w:left="0"/>
        <w:rPr>
          <w:b/>
        </w:rPr>
      </w:pPr>
      <w:r w:rsidRPr="00B60E77">
        <w:rPr>
          <w:noProof/>
        </w:rPr>
        <w:drawing>
          <wp:inline distT="0" distB="0" distL="0" distR="0" wp14:anchorId="408CA2BE" wp14:editId="0C03DEA4">
            <wp:extent cx="5267325" cy="733425"/>
            <wp:effectExtent l="0" t="0" r="9525" b="9525"/>
            <wp:docPr id="59123520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267325" cy="733425"/>
                    </a:xfrm>
                    <a:prstGeom prst="rect">
                      <a:avLst/>
                    </a:prstGeom>
                    <a:noFill/>
                    <a:ln>
                      <a:noFill/>
                    </a:ln>
                  </pic:spPr>
                </pic:pic>
              </a:graphicData>
            </a:graphic>
          </wp:inline>
        </w:drawing>
      </w:r>
      <w:r w:rsidR="00616255">
        <w:t xml:space="preserve"> </w:t>
      </w:r>
    </w:p>
    <w:p w14:paraId="6D08F76D" w14:textId="77777777" w:rsidR="00E14431" w:rsidRDefault="00E14431" w:rsidP="00573B68">
      <w:bookmarkStart w:id="321" w:name="_Toc112219399"/>
      <w:bookmarkStart w:id="322" w:name="_Toc347120398"/>
    </w:p>
    <w:p w14:paraId="0C0909C3" w14:textId="77777777" w:rsidR="00715024" w:rsidRPr="00715024" w:rsidRDefault="00715024" w:rsidP="00715024">
      <w:pPr>
        <w:pStyle w:val="Heading2"/>
        <w:jc w:val="left"/>
        <w:rPr>
          <w:rFonts w:ascii="Arial" w:hAnsi="Arial" w:cs="Arial"/>
          <w:b/>
          <w:color w:val="auto"/>
          <w:sz w:val="20"/>
          <w:szCs w:val="20"/>
        </w:rPr>
      </w:pPr>
      <w:bookmarkStart w:id="323" w:name="_Toc188257146"/>
      <w:bookmarkStart w:id="324" w:name="_Toc188257361"/>
      <w:bookmarkStart w:id="325" w:name="_Toc188257585"/>
      <w:bookmarkStart w:id="326" w:name="_Toc189162594"/>
      <w:r w:rsidRPr="00715024">
        <w:rPr>
          <w:rFonts w:ascii="Arial" w:hAnsi="Arial" w:cs="Arial"/>
          <w:b/>
          <w:color w:val="auto"/>
          <w:sz w:val="20"/>
          <w:szCs w:val="20"/>
        </w:rPr>
        <w:t>4.2.4</w:t>
      </w:r>
      <w:r w:rsidRPr="00715024">
        <w:rPr>
          <w:rFonts w:ascii="Arial" w:hAnsi="Arial" w:cs="Arial"/>
          <w:b/>
          <w:color w:val="auto"/>
          <w:sz w:val="20"/>
          <w:szCs w:val="20"/>
        </w:rPr>
        <w:tab/>
        <w:t>Governmental Lighting Customers</w:t>
      </w:r>
      <w:bookmarkEnd w:id="321"/>
      <w:bookmarkEnd w:id="322"/>
      <w:bookmarkEnd w:id="323"/>
      <w:bookmarkEnd w:id="324"/>
      <w:bookmarkEnd w:id="325"/>
      <w:bookmarkEnd w:id="326"/>
    </w:p>
    <w:p w14:paraId="51C82660" w14:textId="77777777" w:rsidR="00715024" w:rsidRDefault="00715024" w:rsidP="00715024">
      <w:pPr>
        <w:pStyle w:val="BodyText2"/>
        <w:spacing w:line="360" w:lineRule="auto"/>
        <w:jc w:val="left"/>
        <w:rPr>
          <w:b w:val="0"/>
        </w:rPr>
      </w:pPr>
    </w:p>
    <w:p w14:paraId="067514FC" w14:textId="592F68AB" w:rsidR="00715024" w:rsidRDefault="00715024" w:rsidP="00665881">
      <w:pPr>
        <w:pStyle w:val="BodyText2"/>
        <w:spacing w:line="360" w:lineRule="auto"/>
        <w:jc w:val="both"/>
        <w:rPr>
          <w:b w:val="0"/>
        </w:rPr>
      </w:pPr>
      <w:r w:rsidRPr="00715024">
        <w:rPr>
          <w:b w:val="0"/>
        </w:rPr>
        <w:t xml:space="preserve">The Georgia Power governmental lighting </w:t>
      </w:r>
      <w:r w:rsidR="004E23A7">
        <w:rPr>
          <w:b w:val="0"/>
        </w:rPr>
        <w:t xml:space="preserve">monthly </w:t>
      </w:r>
      <w:r w:rsidRPr="00715024">
        <w:rPr>
          <w:b w:val="0"/>
        </w:rPr>
        <w:t xml:space="preserve">customer forecast was developed using a regression model that includes a </w:t>
      </w:r>
      <w:r w:rsidR="00665881" w:rsidRPr="00715024">
        <w:rPr>
          <w:b w:val="0"/>
        </w:rPr>
        <w:t>one-month lag of customers</w:t>
      </w:r>
      <w:r w:rsidR="001C1759">
        <w:rPr>
          <w:b w:val="0"/>
        </w:rPr>
        <w:t>.</w:t>
      </w:r>
      <w:r w:rsidR="00665881" w:rsidRPr="00715024">
        <w:rPr>
          <w:b w:val="0"/>
        </w:rPr>
        <w:t xml:space="preserve"> </w:t>
      </w:r>
      <w:r w:rsidRPr="00715024">
        <w:rPr>
          <w:b w:val="0"/>
        </w:rPr>
        <w:t>The specific parameter estimates and statistics for the governmental lighting customer model are presented in Table 4.2.4-1.</w:t>
      </w:r>
    </w:p>
    <w:p w14:paraId="444F3A41" w14:textId="77777777" w:rsidR="00F11E72" w:rsidRDefault="00F11E72" w:rsidP="00520549">
      <w:pPr>
        <w:pStyle w:val="BodyText2"/>
        <w:spacing w:after="0" w:line="360" w:lineRule="auto"/>
        <w:jc w:val="left"/>
        <w:rPr>
          <w:b w:val="0"/>
        </w:rPr>
      </w:pPr>
    </w:p>
    <w:p w14:paraId="65DABC94" w14:textId="582E64C1" w:rsidR="00715024" w:rsidRDefault="00715024" w:rsidP="0030336C">
      <w:pPr>
        <w:spacing w:after="200" w:line="276" w:lineRule="auto"/>
        <w:jc w:val="left"/>
      </w:pPr>
      <w:r w:rsidRPr="00715024">
        <w:t xml:space="preserve">Table 4.2.4-1: </w:t>
      </w:r>
      <w:r w:rsidRPr="00B66236">
        <w:t>Governmental Lighting Customers</w:t>
      </w:r>
    </w:p>
    <w:p w14:paraId="138154F5" w14:textId="60FE25D2" w:rsidR="0067264A" w:rsidRPr="00017F25" w:rsidRDefault="005B5167" w:rsidP="0067264A">
      <w:pPr>
        <w:pStyle w:val="BodyTextIndent"/>
        <w:spacing w:after="0"/>
        <w:ind w:left="0"/>
        <w:rPr>
          <w:b/>
        </w:rPr>
      </w:pPr>
      <w:r>
        <w:rPr>
          <w:b/>
        </w:rPr>
        <w:t xml:space="preserve">Governmental Lighting </w:t>
      </w:r>
      <w:r w:rsidR="0067264A">
        <w:rPr>
          <w:b/>
        </w:rPr>
        <w:t xml:space="preserve">Customer </w:t>
      </w:r>
      <w:r w:rsidR="0067264A" w:rsidRPr="00017F25">
        <w:rPr>
          <w:b/>
        </w:rPr>
        <w:t>Model</w:t>
      </w:r>
    </w:p>
    <w:p w14:paraId="63A4F0A7" w14:textId="4F3BA858" w:rsidR="0067264A" w:rsidRDefault="0067264A" w:rsidP="0067264A">
      <w:pPr>
        <w:pStyle w:val="BodyTextIndent"/>
        <w:spacing w:after="0"/>
        <w:ind w:left="0"/>
        <w:rPr>
          <w:b/>
        </w:rPr>
      </w:pPr>
      <w:r w:rsidRPr="00017F25">
        <w:rPr>
          <w:b/>
        </w:rPr>
        <w:t xml:space="preserve">Budget </w:t>
      </w:r>
      <w:r w:rsidR="00B60E77" w:rsidRPr="00017F25">
        <w:rPr>
          <w:b/>
        </w:rPr>
        <w:t>20</w:t>
      </w:r>
      <w:r w:rsidR="00B60E77">
        <w:rPr>
          <w:b/>
        </w:rPr>
        <w:t>25</w:t>
      </w:r>
    </w:p>
    <w:p w14:paraId="49B1129B" w14:textId="29AA65A9" w:rsidR="0067264A" w:rsidRDefault="0067264A" w:rsidP="0067264A">
      <w:pPr>
        <w:pStyle w:val="BodyTextIndent"/>
        <w:spacing w:after="0"/>
        <w:ind w:left="0"/>
      </w:pPr>
    </w:p>
    <w:p w14:paraId="090AC3F0" w14:textId="0D09486E" w:rsidR="004B1576" w:rsidRDefault="00105B5A" w:rsidP="0067264A">
      <w:pPr>
        <w:pStyle w:val="BodyTextIndent"/>
        <w:spacing w:after="0"/>
        <w:ind w:left="0"/>
      </w:pPr>
      <w:r w:rsidRPr="00105B5A">
        <w:rPr>
          <w:b/>
          <w:noProof/>
        </w:rPr>
        <w:drawing>
          <wp:inline distT="0" distB="0" distL="0" distR="0" wp14:anchorId="6961BACE" wp14:editId="1263A9D5">
            <wp:extent cx="4230370" cy="963295"/>
            <wp:effectExtent l="0" t="0" r="0" b="8255"/>
            <wp:docPr id="19553402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230370" cy="963295"/>
                    </a:xfrm>
                    <a:prstGeom prst="rect">
                      <a:avLst/>
                    </a:prstGeom>
                    <a:noFill/>
                    <a:ln>
                      <a:noFill/>
                    </a:ln>
                  </pic:spPr>
                </pic:pic>
              </a:graphicData>
            </a:graphic>
          </wp:inline>
        </w:drawing>
      </w:r>
      <w:r w:rsidR="00F67F46" w:rsidRPr="00F67F46">
        <w:rPr>
          <w:b/>
        </w:rPr>
        <w:t xml:space="preserve"> </w:t>
      </w:r>
    </w:p>
    <w:p w14:paraId="249943B1" w14:textId="77777777" w:rsidR="004B1576" w:rsidRDefault="004B1576" w:rsidP="0067264A">
      <w:pPr>
        <w:pStyle w:val="BodyTextIndent"/>
        <w:spacing w:after="0"/>
        <w:ind w:left="0"/>
      </w:pPr>
    </w:p>
    <w:p w14:paraId="2B06E3D1" w14:textId="3D1D65D3" w:rsidR="00C900AD" w:rsidRDefault="00C900AD" w:rsidP="00C900AD">
      <w:pPr>
        <w:pStyle w:val="BodyText2"/>
        <w:keepNext/>
        <w:spacing w:line="360" w:lineRule="auto"/>
        <w:jc w:val="left"/>
      </w:pPr>
      <w:r w:rsidRPr="00C900AD">
        <w:t>Where:</w:t>
      </w:r>
    </w:p>
    <w:p w14:paraId="2BD82359" w14:textId="1D2DDCE0" w:rsidR="004B1576" w:rsidRDefault="002F3C43" w:rsidP="00F11E72">
      <w:pPr>
        <w:pStyle w:val="BodyText2"/>
        <w:keepNext/>
        <w:spacing w:line="360" w:lineRule="auto"/>
      </w:pPr>
      <w:r w:rsidRPr="002F3C43">
        <w:rPr>
          <w:noProof/>
        </w:rPr>
        <w:drawing>
          <wp:inline distT="0" distB="0" distL="0" distR="0" wp14:anchorId="007C4179" wp14:editId="22570F8D">
            <wp:extent cx="5553075" cy="962025"/>
            <wp:effectExtent l="0" t="0" r="9525" b="9525"/>
            <wp:docPr id="154171393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553075" cy="962025"/>
                    </a:xfrm>
                    <a:prstGeom prst="rect">
                      <a:avLst/>
                    </a:prstGeom>
                    <a:noFill/>
                    <a:ln>
                      <a:noFill/>
                    </a:ln>
                  </pic:spPr>
                </pic:pic>
              </a:graphicData>
            </a:graphic>
          </wp:inline>
        </w:drawing>
      </w:r>
      <w:r w:rsidR="00F67F46" w:rsidRPr="00F67F46" w:rsidDel="00F67F46">
        <w:t xml:space="preserve"> </w:t>
      </w:r>
    </w:p>
    <w:p w14:paraId="43F306BD" w14:textId="77777777" w:rsidR="00C112B5" w:rsidRDefault="00C112B5" w:rsidP="00573B68">
      <w:bookmarkStart w:id="327" w:name="_Toc347120400"/>
    </w:p>
    <w:p w14:paraId="5D564944" w14:textId="77777777" w:rsidR="00715024" w:rsidRPr="00715024" w:rsidRDefault="00715024" w:rsidP="00715024">
      <w:pPr>
        <w:pStyle w:val="Heading1"/>
        <w:jc w:val="left"/>
        <w:rPr>
          <w:rFonts w:ascii="Arial" w:hAnsi="Arial" w:cs="Arial"/>
          <w:b/>
          <w:color w:val="auto"/>
        </w:rPr>
      </w:pPr>
      <w:bookmarkStart w:id="328" w:name="_Toc188257147"/>
      <w:bookmarkStart w:id="329" w:name="_Toc188257362"/>
      <w:bookmarkStart w:id="330" w:name="_Toc188257586"/>
      <w:bookmarkStart w:id="331" w:name="_Toc189162595"/>
      <w:r w:rsidRPr="00715024">
        <w:rPr>
          <w:rFonts w:ascii="Arial" w:hAnsi="Arial" w:cs="Arial"/>
          <w:b/>
          <w:color w:val="auto"/>
        </w:rPr>
        <w:lastRenderedPageBreak/>
        <w:t>4.3</w:t>
      </w:r>
      <w:r w:rsidRPr="00715024">
        <w:rPr>
          <w:rFonts w:ascii="Arial" w:hAnsi="Arial" w:cs="Arial"/>
          <w:b/>
          <w:color w:val="auto"/>
        </w:rPr>
        <w:tab/>
        <w:t>CALENDAR MONTH FORECAST</w:t>
      </w:r>
      <w:bookmarkEnd w:id="327"/>
      <w:bookmarkEnd w:id="328"/>
      <w:bookmarkEnd w:id="329"/>
      <w:bookmarkEnd w:id="330"/>
      <w:bookmarkEnd w:id="331"/>
    </w:p>
    <w:p w14:paraId="52458FEA" w14:textId="77777777" w:rsidR="00715024" w:rsidRDefault="00715024" w:rsidP="00715024">
      <w:pPr>
        <w:pStyle w:val="BodyText2"/>
        <w:spacing w:line="360" w:lineRule="auto"/>
        <w:jc w:val="left"/>
        <w:rPr>
          <w:b w:val="0"/>
        </w:rPr>
      </w:pPr>
    </w:p>
    <w:p w14:paraId="51AEF885" w14:textId="414125B9" w:rsidR="00715024" w:rsidRPr="00715024" w:rsidRDefault="00715024" w:rsidP="00070D67">
      <w:pPr>
        <w:pStyle w:val="BodyText2"/>
        <w:spacing w:line="360" w:lineRule="auto"/>
        <w:jc w:val="both"/>
        <w:rPr>
          <w:b w:val="0"/>
        </w:rPr>
      </w:pPr>
      <w:r w:rsidRPr="00715024">
        <w:rPr>
          <w:b w:val="0"/>
        </w:rPr>
        <w:t>Georgia Power budgeting and accounting records are based on calendar month sales</w:t>
      </w:r>
      <w:r w:rsidR="0003116F">
        <w:rPr>
          <w:b w:val="0"/>
        </w:rPr>
        <w:t>.</w:t>
      </w:r>
      <w:r w:rsidRPr="00715024">
        <w:rPr>
          <w:b w:val="0"/>
        </w:rPr>
        <w:t xml:space="preserve"> </w:t>
      </w:r>
      <w:r w:rsidR="0003116F">
        <w:rPr>
          <w:b w:val="0"/>
        </w:rPr>
        <w:t>H</w:t>
      </w:r>
      <w:r w:rsidRPr="00715024">
        <w:rPr>
          <w:b w:val="0"/>
        </w:rPr>
        <w:t>owever,</w:t>
      </w:r>
      <w:r w:rsidR="00DE4850">
        <w:rPr>
          <w:b w:val="0"/>
        </w:rPr>
        <w:t xml:space="preserve"> meters</w:t>
      </w:r>
      <w:r w:rsidRPr="00715024">
        <w:rPr>
          <w:b w:val="0"/>
        </w:rPr>
        <w:t xml:space="preserve"> are not read according to calendar months. Instead, they are read according to the billing schedule for each class. Separate calendar month sales forecasts, derived from billing month forecasts, are prepared for Georgia Power</w:t>
      </w:r>
      <w:r w:rsidR="00136261">
        <w:rPr>
          <w:b w:val="0"/>
        </w:rPr>
        <w:t>’s</w:t>
      </w:r>
      <w:r w:rsidRPr="00715024">
        <w:rPr>
          <w:b w:val="0"/>
        </w:rPr>
        <w:t xml:space="preserve"> residential</w:t>
      </w:r>
      <w:r w:rsidR="00C008FF">
        <w:rPr>
          <w:b w:val="0"/>
        </w:rPr>
        <w:t xml:space="preserve"> and</w:t>
      </w:r>
      <w:r w:rsidRPr="00715024">
        <w:rPr>
          <w:b w:val="0"/>
        </w:rPr>
        <w:t xml:space="preserve"> commercial classes. Calendar month sales forecasts for the other retail customers are assumed to be equal to their billing month forecasts because their billing periods nearly coincide with </w:t>
      </w:r>
      <w:r w:rsidR="00644063">
        <w:rPr>
          <w:b w:val="0"/>
        </w:rPr>
        <w:t xml:space="preserve">actual </w:t>
      </w:r>
      <w:r w:rsidRPr="00715024">
        <w:rPr>
          <w:b w:val="0"/>
        </w:rPr>
        <w:t>calendar months.</w:t>
      </w:r>
    </w:p>
    <w:p w14:paraId="4080F177" w14:textId="77777777" w:rsidR="00715024" w:rsidRPr="00715024" w:rsidRDefault="00715024" w:rsidP="00926A04">
      <w:pPr>
        <w:pStyle w:val="BodyText2"/>
        <w:spacing w:after="0" w:line="360" w:lineRule="auto"/>
        <w:jc w:val="both"/>
        <w:rPr>
          <w:b w:val="0"/>
        </w:rPr>
      </w:pPr>
    </w:p>
    <w:p w14:paraId="2DBC3255" w14:textId="25D2DBF6" w:rsidR="00136261" w:rsidRDefault="00737307" w:rsidP="00070D67">
      <w:pPr>
        <w:pStyle w:val="BodyText2"/>
        <w:spacing w:line="360" w:lineRule="auto"/>
        <w:jc w:val="both"/>
        <w:rPr>
          <w:b w:val="0"/>
        </w:rPr>
      </w:pPr>
      <w:r>
        <w:rPr>
          <w:b w:val="0"/>
        </w:rPr>
        <w:t xml:space="preserve">For </w:t>
      </w:r>
      <w:r w:rsidRPr="00715024">
        <w:rPr>
          <w:b w:val="0"/>
        </w:rPr>
        <w:t>the short-term forecast (</w:t>
      </w:r>
      <w:r w:rsidR="003B02B2" w:rsidRPr="00715024">
        <w:rPr>
          <w:b w:val="0"/>
        </w:rPr>
        <w:t>20</w:t>
      </w:r>
      <w:r w:rsidR="003B02B2">
        <w:rPr>
          <w:b w:val="0"/>
        </w:rPr>
        <w:t>25</w:t>
      </w:r>
      <w:r w:rsidR="00DE4850">
        <w:rPr>
          <w:b w:val="0"/>
        </w:rPr>
        <w:t>-</w:t>
      </w:r>
      <w:r w:rsidR="003B02B2" w:rsidRPr="00715024">
        <w:rPr>
          <w:b w:val="0"/>
        </w:rPr>
        <w:t>20</w:t>
      </w:r>
      <w:r w:rsidR="003B02B2">
        <w:rPr>
          <w:b w:val="0"/>
        </w:rPr>
        <w:t>29</w:t>
      </w:r>
      <w:r w:rsidRPr="00715024">
        <w:rPr>
          <w:b w:val="0"/>
        </w:rPr>
        <w:t>),</w:t>
      </w:r>
      <w:r>
        <w:rPr>
          <w:b w:val="0"/>
        </w:rPr>
        <w:t xml:space="preserve"> billing month </w:t>
      </w:r>
      <w:r w:rsidR="00C51822">
        <w:rPr>
          <w:b w:val="0"/>
        </w:rPr>
        <w:t xml:space="preserve">energy </w:t>
      </w:r>
      <w:r>
        <w:rPr>
          <w:b w:val="0"/>
        </w:rPr>
        <w:t xml:space="preserve">sales are converted into calendar month </w:t>
      </w:r>
      <w:r w:rsidR="00C51822">
        <w:rPr>
          <w:b w:val="0"/>
        </w:rPr>
        <w:t xml:space="preserve">energy </w:t>
      </w:r>
      <w:r>
        <w:rPr>
          <w:b w:val="0"/>
        </w:rPr>
        <w:t>sales</w:t>
      </w:r>
      <w:r w:rsidR="00356C2A">
        <w:rPr>
          <w:b w:val="0"/>
        </w:rPr>
        <w:t xml:space="preserve"> by forecasting unbilled </w:t>
      </w:r>
      <w:r w:rsidR="00C51822">
        <w:rPr>
          <w:b w:val="0"/>
        </w:rPr>
        <w:t xml:space="preserve">energy </w:t>
      </w:r>
      <w:r w:rsidR="00356C2A">
        <w:rPr>
          <w:b w:val="0"/>
        </w:rPr>
        <w:t>sales and</w:t>
      </w:r>
      <w:r>
        <w:rPr>
          <w:b w:val="0"/>
        </w:rPr>
        <w:t xml:space="preserve"> </w:t>
      </w:r>
      <w:r w:rsidR="00C51822">
        <w:rPr>
          <w:b w:val="0"/>
        </w:rPr>
        <w:t>apply</w:t>
      </w:r>
      <w:r>
        <w:rPr>
          <w:b w:val="0"/>
        </w:rPr>
        <w:t>ing the following equation:</w:t>
      </w:r>
    </w:p>
    <w:p w14:paraId="27E3A106" w14:textId="77777777" w:rsidR="00356C2A" w:rsidRDefault="00356C2A" w:rsidP="00926A04">
      <w:pPr>
        <w:pStyle w:val="BodyText2"/>
        <w:spacing w:after="0" w:line="360" w:lineRule="auto"/>
        <w:jc w:val="left"/>
        <w:rPr>
          <w:b w:val="0"/>
        </w:rPr>
      </w:pPr>
    </w:p>
    <w:p w14:paraId="62A53B38" w14:textId="77777777" w:rsidR="00737307" w:rsidRDefault="00737307" w:rsidP="00715024">
      <w:pPr>
        <w:pStyle w:val="BodyText2"/>
        <w:spacing w:line="360" w:lineRule="auto"/>
        <w:jc w:val="left"/>
        <w:rPr>
          <w:b w:val="0"/>
        </w:rPr>
      </w:pPr>
      <w:r>
        <w:rPr>
          <w:b w:val="0"/>
        </w:rPr>
        <w:t>Calendar Month Sales = Billed Sales (current month) + Net Unbilled Sales</w:t>
      </w:r>
    </w:p>
    <w:p w14:paraId="77DDBD97" w14:textId="77777777" w:rsidR="00737307" w:rsidRDefault="00A216B1" w:rsidP="00737307">
      <w:pPr>
        <w:pStyle w:val="BodyText2"/>
        <w:spacing w:line="360" w:lineRule="auto"/>
        <w:jc w:val="left"/>
        <w:rPr>
          <w:b w:val="0"/>
        </w:rPr>
      </w:pPr>
      <w:r>
        <w:rPr>
          <w:b w:val="0"/>
        </w:rPr>
        <w:t>w</w:t>
      </w:r>
      <w:r w:rsidR="00737307">
        <w:rPr>
          <w:b w:val="0"/>
        </w:rPr>
        <w:t xml:space="preserve">here: </w:t>
      </w:r>
    </w:p>
    <w:p w14:paraId="10BF396D" w14:textId="77777777" w:rsidR="00737307" w:rsidRDefault="00737307" w:rsidP="00A216B1">
      <w:pPr>
        <w:pStyle w:val="BodyText2"/>
        <w:spacing w:line="360" w:lineRule="auto"/>
        <w:jc w:val="left"/>
        <w:rPr>
          <w:b w:val="0"/>
        </w:rPr>
      </w:pPr>
      <w:r>
        <w:rPr>
          <w:b w:val="0"/>
        </w:rPr>
        <w:t xml:space="preserve">Net Unbilled Sales = Unbilled Sales (Current Month) – Unbilled Sales (Previous Month) </w:t>
      </w:r>
    </w:p>
    <w:p w14:paraId="130ACFE9" w14:textId="77777777" w:rsidR="00136261" w:rsidRDefault="00136261" w:rsidP="00926A04">
      <w:pPr>
        <w:pStyle w:val="BodyText2"/>
        <w:spacing w:after="0" w:line="360" w:lineRule="auto"/>
        <w:jc w:val="left"/>
        <w:rPr>
          <w:b w:val="0"/>
        </w:rPr>
      </w:pPr>
    </w:p>
    <w:p w14:paraId="20D6D1CC" w14:textId="3E3C6ADA" w:rsidR="00F7209D" w:rsidRDefault="00A216B1" w:rsidP="00C00103">
      <w:pPr>
        <w:pStyle w:val="BodyText2"/>
        <w:spacing w:after="0" w:line="360" w:lineRule="auto"/>
        <w:jc w:val="both"/>
        <w:rPr>
          <w:b w:val="0"/>
        </w:rPr>
      </w:pPr>
      <w:r>
        <w:rPr>
          <w:b w:val="0"/>
        </w:rPr>
        <w:t xml:space="preserve">The unbilled sales forecast is estimated using the same forecast models for residential </w:t>
      </w:r>
      <w:r w:rsidR="00C008FF">
        <w:rPr>
          <w:b w:val="0"/>
        </w:rPr>
        <w:t xml:space="preserve">and </w:t>
      </w:r>
      <w:r>
        <w:rPr>
          <w:b w:val="0"/>
        </w:rPr>
        <w:t xml:space="preserve">commercial </w:t>
      </w:r>
      <w:r w:rsidR="005D361A">
        <w:rPr>
          <w:b w:val="0"/>
        </w:rPr>
        <w:t xml:space="preserve">as </w:t>
      </w:r>
      <w:r>
        <w:rPr>
          <w:b w:val="0"/>
        </w:rPr>
        <w:t xml:space="preserve">presented in </w:t>
      </w:r>
      <w:r w:rsidR="00B3486B">
        <w:rPr>
          <w:b w:val="0"/>
        </w:rPr>
        <w:t>S</w:t>
      </w:r>
      <w:r>
        <w:rPr>
          <w:b w:val="0"/>
        </w:rPr>
        <w:t>ections 4.1.1</w:t>
      </w:r>
      <w:r w:rsidR="00C008FF">
        <w:rPr>
          <w:b w:val="0"/>
        </w:rPr>
        <w:t xml:space="preserve"> and</w:t>
      </w:r>
      <w:r>
        <w:rPr>
          <w:b w:val="0"/>
        </w:rPr>
        <w:t xml:space="preserve"> 4.1.2. </w:t>
      </w:r>
      <w:r w:rsidR="00C51822">
        <w:rPr>
          <w:b w:val="0"/>
        </w:rPr>
        <w:t xml:space="preserve">All of the </w:t>
      </w:r>
      <w:r w:rsidR="00E37734">
        <w:rPr>
          <w:b w:val="0"/>
        </w:rPr>
        <w:t xml:space="preserve">inputs are the same, with the exception of the </w:t>
      </w:r>
      <w:r w:rsidR="00F91F32">
        <w:rPr>
          <w:b w:val="0"/>
        </w:rPr>
        <w:t xml:space="preserve">monthly </w:t>
      </w:r>
      <w:r w:rsidR="00E37734">
        <w:rPr>
          <w:b w:val="0"/>
        </w:rPr>
        <w:t xml:space="preserve">weather </w:t>
      </w:r>
      <w:r w:rsidR="00C112B5">
        <w:rPr>
          <w:b w:val="0"/>
        </w:rPr>
        <w:t xml:space="preserve">interaction terms </w:t>
      </w:r>
      <w:r w:rsidR="00E37734">
        <w:rPr>
          <w:b w:val="0"/>
        </w:rPr>
        <w:t xml:space="preserve">in the forecast period. </w:t>
      </w:r>
      <w:r w:rsidR="00C112B5">
        <w:rPr>
          <w:b w:val="0"/>
        </w:rPr>
        <w:t xml:space="preserve">In the unbilled model, </w:t>
      </w:r>
      <w:r w:rsidR="00F7209D">
        <w:rPr>
          <w:b w:val="0"/>
        </w:rPr>
        <w:t>t</w:t>
      </w:r>
      <w:r w:rsidR="00E37734">
        <w:rPr>
          <w:b w:val="0"/>
        </w:rPr>
        <w:t>he</w:t>
      </w:r>
      <w:r w:rsidR="00F7209D">
        <w:rPr>
          <w:b w:val="0"/>
        </w:rPr>
        <w:t xml:space="preserve">se </w:t>
      </w:r>
      <w:r w:rsidR="00116464">
        <w:rPr>
          <w:b w:val="0"/>
        </w:rPr>
        <w:t xml:space="preserve">monthly </w:t>
      </w:r>
      <w:r w:rsidR="00F7209D">
        <w:rPr>
          <w:b w:val="0"/>
        </w:rPr>
        <w:t xml:space="preserve">weather interaction terms are </w:t>
      </w:r>
      <w:r w:rsidR="00864D25">
        <w:rPr>
          <w:b w:val="0"/>
        </w:rPr>
        <w:t xml:space="preserve">based on </w:t>
      </w:r>
      <w:r w:rsidR="00F7209D">
        <w:rPr>
          <w:b w:val="0"/>
        </w:rPr>
        <w:t>the number of unbilled days,</w:t>
      </w:r>
      <w:r w:rsidR="00C51822">
        <w:rPr>
          <w:b w:val="0"/>
        </w:rPr>
        <w:t xml:space="preserve"> rather than the number of billed days,</w:t>
      </w:r>
      <w:r w:rsidR="00F7209D">
        <w:rPr>
          <w:b w:val="0"/>
        </w:rPr>
        <w:t xml:space="preserve"> to account for the impact of variation</w:t>
      </w:r>
      <w:r w:rsidR="00C51822">
        <w:rPr>
          <w:b w:val="0"/>
        </w:rPr>
        <w:t>s</w:t>
      </w:r>
      <w:r w:rsidR="00F7209D">
        <w:rPr>
          <w:b w:val="0"/>
        </w:rPr>
        <w:t xml:space="preserve"> in the length of the unbilled period. </w:t>
      </w:r>
      <w:r w:rsidR="00C51822">
        <w:rPr>
          <w:b w:val="0"/>
        </w:rPr>
        <w:t xml:space="preserve">As with the number of billing days, the number of unbilled days is based on the </w:t>
      </w:r>
      <w:r w:rsidR="00CE1734">
        <w:rPr>
          <w:b w:val="0"/>
        </w:rPr>
        <w:t xml:space="preserve">Company’s </w:t>
      </w:r>
      <w:r w:rsidR="00C51822">
        <w:rPr>
          <w:b w:val="0"/>
        </w:rPr>
        <w:t>annual meter reading schedule.</w:t>
      </w:r>
    </w:p>
    <w:p w14:paraId="7BC7FCA3" w14:textId="77777777" w:rsidR="002F3C43" w:rsidRDefault="002F3C43" w:rsidP="00C00103">
      <w:pPr>
        <w:pStyle w:val="BodyText2"/>
        <w:spacing w:after="0" w:line="360" w:lineRule="auto"/>
        <w:jc w:val="both"/>
        <w:rPr>
          <w:b w:val="0"/>
        </w:rPr>
      </w:pPr>
    </w:p>
    <w:p w14:paraId="387D5A3B" w14:textId="7CD256D7" w:rsidR="005D361A" w:rsidRDefault="005D361A" w:rsidP="005D361A">
      <w:pPr>
        <w:pStyle w:val="BodyText2"/>
        <w:spacing w:line="360" w:lineRule="auto"/>
        <w:jc w:val="both"/>
        <w:rPr>
          <w:b w:val="0"/>
        </w:rPr>
      </w:pPr>
      <w:r w:rsidRPr="005D361A">
        <w:rPr>
          <w:b w:val="0"/>
        </w:rPr>
        <w:t>The forecast of residential use per customer per unbilled day</w:t>
      </w:r>
      <w:r w:rsidR="00C008FF">
        <w:rPr>
          <w:b w:val="0"/>
        </w:rPr>
        <w:t xml:space="preserve"> and </w:t>
      </w:r>
      <w:r>
        <w:rPr>
          <w:b w:val="0"/>
        </w:rPr>
        <w:t xml:space="preserve">commercial energy </w:t>
      </w:r>
      <w:r w:rsidR="00C008FF">
        <w:rPr>
          <w:b w:val="0"/>
        </w:rPr>
        <w:t xml:space="preserve">use per customer </w:t>
      </w:r>
      <w:r>
        <w:rPr>
          <w:b w:val="0"/>
        </w:rPr>
        <w:t>per unbilled day</w:t>
      </w:r>
      <w:r w:rsidRPr="005D361A">
        <w:rPr>
          <w:b w:val="0"/>
        </w:rPr>
        <w:t xml:space="preserve"> </w:t>
      </w:r>
      <w:r>
        <w:rPr>
          <w:b w:val="0"/>
        </w:rPr>
        <w:t>are</w:t>
      </w:r>
      <w:r w:rsidRPr="005D361A">
        <w:rPr>
          <w:b w:val="0"/>
        </w:rPr>
        <w:t xml:space="preserve"> multiplied by the forecasted number of </w:t>
      </w:r>
      <w:r w:rsidR="00C540FD">
        <w:rPr>
          <w:b w:val="0"/>
        </w:rPr>
        <w:t xml:space="preserve">customers and </w:t>
      </w:r>
      <w:r w:rsidRPr="005D361A">
        <w:rPr>
          <w:b w:val="0"/>
        </w:rPr>
        <w:t xml:space="preserve">unbilled days </w:t>
      </w:r>
      <w:r>
        <w:rPr>
          <w:b w:val="0"/>
        </w:rPr>
        <w:t xml:space="preserve">to </w:t>
      </w:r>
      <w:r w:rsidRPr="005D361A">
        <w:rPr>
          <w:b w:val="0"/>
        </w:rPr>
        <w:t xml:space="preserve">get </w:t>
      </w:r>
      <w:r>
        <w:rPr>
          <w:b w:val="0"/>
        </w:rPr>
        <w:t xml:space="preserve">the respective </w:t>
      </w:r>
      <w:r w:rsidRPr="005D361A">
        <w:rPr>
          <w:b w:val="0"/>
        </w:rPr>
        <w:t>forecasted unbilled energy sales</w:t>
      </w:r>
      <w:r>
        <w:rPr>
          <w:b w:val="0"/>
        </w:rPr>
        <w:t xml:space="preserve"> for each class to be used in the equation above to calculate calendar month sales.</w:t>
      </w:r>
    </w:p>
    <w:p w14:paraId="3BFB5B2E" w14:textId="77777777" w:rsidR="005D361A" w:rsidRPr="003A3426" w:rsidRDefault="005D361A" w:rsidP="005D361A">
      <w:pPr>
        <w:pStyle w:val="BodyText2"/>
        <w:spacing w:line="360" w:lineRule="auto"/>
        <w:jc w:val="both"/>
      </w:pPr>
    </w:p>
    <w:p w14:paraId="1E250612" w14:textId="77777777" w:rsidR="00F96D57" w:rsidRDefault="00F96D57" w:rsidP="004C18DA">
      <w:pPr>
        <w:pStyle w:val="BodyText2"/>
        <w:jc w:val="both"/>
        <w:rPr>
          <w:highlight w:val="yellow"/>
        </w:rPr>
      </w:pPr>
    </w:p>
    <w:p w14:paraId="0D66A900" w14:textId="77777777" w:rsidR="001301C4" w:rsidRDefault="001301C4" w:rsidP="004C18DA">
      <w:pPr>
        <w:pStyle w:val="BodyText2"/>
        <w:jc w:val="both"/>
        <w:rPr>
          <w:highlight w:val="yellow"/>
        </w:rPr>
        <w:sectPr w:rsidR="001301C4" w:rsidSect="006D095F">
          <w:footerReference w:type="default" r:id="rId45"/>
          <w:pgSz w:w="12240" w:h="15840"/>
          <w:pgMar w:top="1440" w:right="1440" w:bottom="1440" w:left="1440" w:header="720" w:footer="720" w:gutter="0"/>
          <w:cols w:space="720"/>
          <w:docGrid w:linePitch="360"/>
        </w:sectPr>
      </w:pPr>
    </w:p>
    <w:p w14:paraId="366E0AEA" w14:textId="77777777" w:rsidR="00CD1924" w:rsidRPr="00CD1924" w:rsidRDefault="00CD1924" w:rsidP="00CD1924">
      <w:pPr>
        <w:pStyle w:val="Heading1"/>
        <w:jc w:val="left"/>
        <w:rPr>
          <w:rFonts w:ascii="Arial" w:hAnsi="Arial" w:cs="Arial"/>
          <w:b/>
          <w:color w:val="auto"/>
        </w:rPr>
      </w:pPr>
      <w:bookmarkStart w:id="332" w:name="_Toc114629515"/>
      <w:bookmarkStart w:id="333" w:name="_Toc138581520"/>
      <w:bookmarkStart w:id="334" w:name="_Toc346717942"/>
      <w:bookmarkStart w:id="335" w:name="_Toc346718343"/>
      <w:bookmarkStart w:id="336" w:name="_Toc347120402"/>
      <w:bookmarkStart w:id="337" w:name="_Toc188257148"/>
      <w:bookmarkStart w:id="338" w:name="_Toc188257363"/>
      <w:bookmarkStart w:id="339" w:name="_Toc188257587"/>
      <w:bookmarkStart w:id="340" w:name="_Toc346717944"/>
      <w:bookmarkStart w:id="341" w:name="_Toc346718345"/>
      <w:bookmarkStart w:id="342" w:name="_Toc347120404"/>
      <w:bookmarkStart w:id="343" w:name="_Toc189162596"/>
      <w:r w:rsidRPr="00CD1924">
        <w:rPr>
          <w:rFonts w:ascii="Arial" w:hAnsi="Arial" w:cs="Arial"/>
          <w:b/>
          <w:color w:val="auto"/>
        </w:rPr>
        <w:lastRenderedPageBreak/>
        <w:t>5.0</w:t>
      </w:r>
      <w:r w:rsidRPr="00CD1924">
        <w:rPr>
          <w:rFonts w:ascii="Arial" w:hAnsi="Arial" w:cs="Arial"/>
          <w:b/>
          <w:color w:val="auto"/>
        </w:rPr>
        <w:tab/>
        <w:t xml:space="preserve">LONG-TERM </w:t>
      </w:r>
      <w:bookmarkEnd w:id="332"/>
      <w:bookmarkEnd w:id="333"/>
      <w:r w:rsidRPr="00CD1924">
        <w:rPr>
          <w:rFonts w:ascii="Arial" w:hAnsi="Arial" w:cs="Arial"/>
          <w:b/>
          <w:color w:val="auto"/>
        </w:rPr>
        <w:t>MODEL DESIGN</w:t>
      </w:r>
      <w:bookmarkEnd w:id="334"/>
      <w:bookmarkEnd w:id="335"/>
      <w:bookmarkEnd w:id="336"/>
      <w:bookmarkEnd w:id="337"/>
      <w:bookmarkEnd w:id="338"/>
      <w:bookmarkEnd w:id="339"/>
      <w:bookmarkEnd w:id="343"/>
    </w:p>
    <w:p w14:paraId="36A58967" w14:textId="77777777" w:rsidR="00CD1924" w:rsidRDefault="00CD1924" w:rsidP="00CD1924">
      <w:pPr>
        <w:pStyle w:val="BodyText2"/>
        <w:spacing w:line="360" w:lineRule="auto"/>
        <w:jc w:val="left"/>
        <w:rPr>
          <w:b w:val="0"/>
        </w:rPr>
      </w:pPr>
    </w:p>
    <w:p w14:paraId="6438DCCC" w14:textId="6BCC283B" w:rsidR="00C45A5E" w:rsidRDefault="00C01C10" w:rsidP="00847262">
      <w:pPr>
        <w:spacing w:line="360" w:lineRule="auto"/>
        <w:jc w:val="both"/>
        <w:rPr>
          <w:b w:val="0"/>
        </w:rPr>
      </w:pPr>
      <w:r w:rsidRPr="00C01C10">
        <w:rPr>
          <w:b w:val="0"/>
        </w:rPr>
        <w:t>The long-term forecasts for the residential, commercial</w:t>
      </w:r>
      <w:r w:rsidR="008E1257">
        <w:rPr>
          <w:b w:val="0"/>
        </w:rPr>
        <w:t>,</w:t>
      </w:r>
      <w:r w:rsidRPr="00C01C10">
        <w:rPr>
          <w:b w:val="0"/>
        </w:rPr>
        <w:t xml:space="preserve"> and industrial customer classes were produced with end-use models. The end-use approach allows for a</w:t>
      </w:r>
      <w:r w:rsidR="0077642A">
        <w:rPr>
          <w:b w:val="0"/>
        </w:rPr>
        <w:t>n</w:t>
      </w:r>
      <w:r w:rsidRPr="00C01C10">
        <w:rPr>
          <w:b w:val="0"/>
        </w:rPr>
        <w:t xml:space="preserve"> examination of the end uses that contribute to the energy usage of a customer class. For example, specific assumptions about appliance ownership, appliance efficiency improvements, and consumer choice characteristics are factored into the forecast</w:t>
      </w:r>
      <w:r w:rsidR="0077642A">
        <w:rPr>
          <w:b w:val="0"/>
        </w:rPr>
        <w:t xml:space="preserve"> of each customer class</w:t>
      </w:r>
      <w:r w:rsidRPr="00C01C10">
        <w:rPr>
          <w:b w:val="0"/>
        </w:rPr>
        <w:t>.</w:t>
      </w:r>
    </w:p>
    <w:p w14:paraId="3BEC8B4F" w14:textId="77777777" w:rsidR="00C45A5E" w:rsidRDefault="00C45A5E" w:rsidP="00847262">
      <w:pPr>
        <w:spacing w:line="360" w:lineRule="auto"/>
        <w:jc w:val="both"/>
        <w:rPr>
          <w:b w:val="0"/>
        </w:rPr>
      </w:pPr>
    </w:p>
    <w:p w14:paraId="0FE20501" w14:textId="2CFA6341" w:rsidR="00A42D74" w:rsidRDefault="0077642A" w:rsidP="00847262">
      <w:pPr>
        <w:spacing w:line="360" w:lineRule="auto"/>
        <w:jc w:val="both"/>
        <w:rPr>
          <w:b w:val="0"/>
          <w:bCs/>
        </w:rPr>
      </w:pPr>
      <w:r w:rsidRPr="00F63DA9">
        <w:rPr>
          <w:b w:val="0"/>
          <w:bCs/>
        </w:rPr>
        <w:t xml:space="preserve">For Budget </w:t>
      </w:r>
      <w:r w:rsidR="003B02B2" w:rsidRPr="00F63DA9">
        <w:rPr>
          <w:b w:val="0"/>
          <w:bCs/>
        </w:rPr>
        <w:t>20</w:t>
      </w:r>
      <w:r w:rsidR="003B02B2">
        <w:rPr>
          <w:b w:val="0"/>
          <w:bCs/>
        </w:rPr>
        <w:t>25</w:t>
      </w:r>
      <w:r w:rsidRPr="00F63DA9">
        <w:rPr>
          <w:b w:val="0"/>
          <w:bCs/>
        </w:rPr>
        <w:t xml:space="preserve">, the long-term </w:t>
      </w:r>
      <w:r w:rsidR="00A16F7F">
        <w:rPr>
          <w:b w:val="0"/>
          <w:bCs/>
        </w:rPr>
        <w:t xml:space="preserve">energy </w:t>
      </w:r>
      <w:r w:rsidRPr="00F63DA9">
        <w:rPr>
          <w:b w:val="0"/>
          <w:bCs/>
        </w:rPr>
        <w:t>forecasts u</w:t>
      </w:r>
      <w:r w:rsidR="00A16F7F">
        <w:rPr>
          <w:b w:val="0"/>
          <w:bCs/>
        </w:rPr>
        <w:t>tiliz</w:t>
      </w:r>
      <w:r w:rsidRPr="00F63DA9">
        <w:rPr>
          <w:b w:val="0"/>
          <w:bCs/>
        </w:rPr>
        <w:t xml:space="preserve">ed the Load Management and Planning model (LoadMAP), developed by Applied Energy Group (“AEG”), for the residential, commercial, and industrial classes. LoadMAP has been in use since the Budget 2015 forecast. </w:t>
      </w:r>
      <w:r w:rsidR="00542407">
        <w:rPr>
          <w:b w:val="0"/>
          <w:bCs/>
        </w:rPr>
        <w:t xml:space="preserve">Beginning with </w:t>
      </w:r>
      <w:r w:rsidRPr="00F63DA9">
        <w:rPr>
          <w:b w:val="0"/>
          <w:bCs/>
        </w:rPr>
        <w:t>Budget 202</w:t>
      </w:r>
      <w:r w:rsidR="00542407">
        <w:rPr>
          <w:b w:val="0"/>
          <w:bCs/>
        </w:rPr>
        <w:t>1,</w:t>
      </w:r>
      <w:r w:rsidRPr="00F63DA9">
        <w:rPr>
          <w:b w:val="0"/>
          <w:bCs/>
        </w:rPr>
        <w:t xml:space="preserve"> the </w:t>
      </w:r>
      <w:r w:rsidR="00542407">
        <w:rPr>
          <w:b w:val="0"/>
          <w:bCs/>
        </w:rPr>
        <w:t xml:space="preserve">base year in the </w:t>
      </w:r>
      <w:r w:rsidRPr="00F63DA9">
        <w:rPr>
          <w:b w:val="0"/>
          <w:bCs/>
        </w:rPr>
        <w:t>LoadMAP models</w:t>
      </w:r>
      <w:r w:rsidR="00444D66">
        <w:rPr>
          <w:b w:val="0"/>
          <w:bCs/>
        </w:rPr>
        <w:t xml:space="preserve"> </w:t>
      </w:r>
      <w:r w:rsidR="00542407">
        <w:rPr>
          <w:b w:val="0"/>
          <w:bCs/>
        </w:rPr>
        <w:t>was</w:t>
      </w:r>
      <w:r w:rsidRPr="00F63DA9">
        <w:rPr>
          <w:b w:val="0"/>
          <w:bCs/>
        </w:rPr>
        <w:t xml:space="preserve"> updated to 2016 (from 2007).</w:t>
      </w:r>
    </w:p>
    <w:p w14:paraId="65B6E748" w14:textId="77777777" w:rsidR="00A42D74" w:rsidRDefault="00A42D74" w:rsidP="00D91F96">
      <w:pPr>
        <w:spacing w:line="360" w:lineRule="auto"/>
        <w:jc w:val="both"/>
        <w:rPr>
          <w:b w:val="0"/>
          <w:bCs/>
        </w:rPr>
      </w:pPr>
    </w:p>
    <w:p w14:paraId="1D8FE6AC" w14:textId="6688836B" w:rsidR="00847262" w:rsidRDefault="0077642A" w:rsidP="00887508">
      <w:pPr>
        <w:spacing w:line="360" w:lineRule="auto"/>
        <w:jc w:val="both"/>
        <w:rPr>
          <w:b w:val="0"/>
          <w:bCs/>
        </w:rPr>
      </w:pPr>
      <w:r w:rsidRPr="00F63DA9">
        <w:rPr>
          <w:b w:val="0"/>
          <w:bCs/>
        </w:rPr>
        <w:t xml:space="preserve">Market profiles are used to quantify electricity use in the base year of the study by sector, segment, end use, and the current set of technologies. </w:t>
      </w:r>
      <w:r w:rsidR="00E06612">
        <w:rPr>
          <w:b w:val="0"/>
          <w:bCs/>
        </w:rPr>
        <w:t>As part of the re-baselining process, t</w:t>
      </w:r>
      <w:r w:rsidRPr="00F63DA9">
        <w:rPr>
          <w:b w:val="0"/>
          <w:bCs/>
        </w:rPr>
        <w:t xml:space="preserve">he market profiles for the </w:t>
      </w:r>
      <w:r w:rsidR="00E06612">
        <w:rPr>
          <w:b w:val="0"/>
          <w:bCs/>
        </w:rPr>
        <w:t>r</w:t>
      </w:r>
      <w:r w:rsidRPr="00F63DA9">
        <w:rPr>
          <w:b w:val="0"/>
          <w:bCs/>
        </w:rPr>
        <w:t xml:space="preserve">esidential, </w:t>
      </w:r>
      <w:r w:rsidR="00E06612">
        <w:rPr>
          <w:b w:val="0"/>
          <w:bCs/>
        </w:rPr>
        <w:t>c</w:t>
      </w:r>
      <w:r w:rsidRPr="00F63DA9">
        <w:rPr>
          <w:b w:val="0"/>
          <w:bCs/>
        </w:rPr>
        <w:t xml:space="preserve">ommercial, and </w:t>
      </w:r>
      <w:r w:rsidR="00E06612">
        <w:rPr>
          <w:b w:val="0"/>
          <w:bCs/>
        </w:rPr>
        <w:t>i</w:t>
      </w:r>
      <w:r w:rsidRPr="00F63DA9">
        <w:rPr>
          <w:b w:val="0"/>
          <w:bCs/>
        </w:rPr>
        <w:t xml:space="preserve">ndustrial sectors </w:t>
      </w:r>
      <w:r w:rsidR="00E06612">
        <w:rPr>
          <w:b w:val="0"/>
          <w:bCs/>
        </w:rPr>
        <w:t xml:space="preserve">were rebuilt, </w:t>
      </w:r>
      <w:r w:rsidRPr="00F63DA9">
        <w:rPr>
          <w:b w:val="0"/>
          <w:bCs/>
        </w:rPr>
        <w:t xml:space="preserve">moving the </w:t>
      </w:r>
      <w:r w:rsidR="00E06612">
        <w:rPr>
          <w:b w:val="0"/>
          <w:bCs/>
        </w:rPr>
        <w:t>base</w:t>
      </w:r>
      <w:r w:rsidRPr="00F63DA9">
        <w:rPr>
          <w:b w:val="0"/>
          <w:bCs/>
        </w:rPr>
        <w:t xml:space="preserve"> year from 2007 to 2016. Base-year data such as customer counts, historic energy sales, equipment presence (saturations), market floor space (in </w:t>
      </w:r>
      <w:r w:rsidR="00E06612">
        <w:rPr>
          <w:b w:val="0"/>
          <w:bCs/>
        </w:rPr>
        <w:t>c</w:t>
      </w:r>
      <w:r w:rsidRPr="00F63DA9">
        <w:rPr>
          <w:b w:val="0"/>
          <w:bCs/>
        </w:rPr>
        <w:t>ommercial), Industrial Production and per-unit equipment electricity consumption (UEC/EUI) were updated using the best available sources as described below.</w:t>
      </w:r>
    </w:p>
    <w:p w14:paraId="7C497BCB" w14:textId="77777777" w:rsidR="00A42D74" w:rsidRPr="0077642A" w:rsidRDefault="00A42D74" w:rsidP="00887508">
      <w:pPr>
        <w:spacing w:line="360" w:lineRule="auto"/>
        <w:jc w:val="both"/>
        <w:rPr>
          <w:b w:val="0"/>
          <w:bCs/>
        </w:rPr>
      </w:pPr>
    </w:p>
    <w:p w14:paraId="69F7693E" w14:textId="5434E221" w:rsidR="00051362" w:rsidRDefault="00A52DE9" w:rsidP="00165E84">
      <w:pPr>
        <w:spacing w:line="360" w:lineRule="auto"/>
        <w:jc w:val="both"/>
        <w:rPr>
          <w:b w:val="0"/>
        </w:rPr>
      </w:pPr>
      <w:r>
        <w:rPr>
          <w:b w:val="0"/>
        </w:rPr>
        <w:t>The l</w:t>
      </w:r>
      <w:r w:rsidR="00C01C10" w:rsidRPr="00C01C10">
        <w:rPr>
          <w:b w:val="0"/>
        </w:rPr>
        <w:t>ong-term twenty</w:t>
      </w:r>
      <w:r w:rsidR="00537ABE">
        <w:rPr>
          <w:b w:val="0"/>
        </w:rPr>
        <w:t>-</w:t>
      </w:r>
      <w:r w:rsidR="00C01C10" w:rsidRPr="00C01C10">
        <w:rPr>
          <w:b w:val="0"/>
        </w:rPr>
        <w:t>year forecast for MARTA w</w:t>
      </w:r>
      <w:r>
        <w:rPr>
          <w:b w:val="0"/>
        </w:rPr>
        <w:t>as</w:t>
      </w:r>
      <w:r w:rsidR="00C01C10" w:rsidRPr="00C01C10">
        <w:rPr>
          <w:b w:val="0"/>
        </w:rPr>
        <w:t xml:space="preserve"> produced using </w:t>
      </w:r>
      <w:r>
        <w:rPr>
          <w:b w:val="0"/>
        </w:rPr>
        <w:t xml:space="preserve">an </w:t>
      </w:r>
      <w:r w:rsidR="00C01C10" w:rsidRPr="00C01C10">
        <w:rPr>
          <w:b w:val="0"/>
        </w:rPr>
        <w:t>econometric regression model.</w:t>
      </w:r>
      <w:r w:rsidDel="00616255">
        <w:rPr>
          <w:b w:val="0"/>
        </w:rPr>
        <w:t xml:space="preserve"> </w:t>
      </w:r>
      <w:r w:rsidR="00C01C10" w:rsidRPr="00C01C10" w:rsidDel="00616255">
        <w:rPr>
          <w:b w:val="0"/>
        </w:rPr>
        <w:t xml:space="preserve"> </w:t>
      </w:r>
      <w:r>
        <w:rPr>
          <w:b w:val="0"/>
        </w:rPr>
        <w:t xml:space="preserve">The </w:t>
      </w:r>
      <w:r w:rsidRPr="00C01C10">
        <w:rPr>
          <w:b w:val="0"/>
        </w:rPr>
        <w:t xml:space="preserve">governmental lighting </w:t>
      </w:r>
      <w:r>
        <w:rPr>
          <w:b w:val="0"/>
        </w:rPr>
        <w:t xml:space="preserve">forecast was produced </w:t>
      </w:r>
      <w:r w:rsidR="00A16F7F">
        <w:rPr>
          <w:b w:val="0"/>
        </w:rPr>
        <w:t>based on</w:t>
      </w:r>
      <w:r>
        <w:rPr>
          <w:b w:val="0"/>
        </w:rPr>
        <w:t xml:space="preserve"> </w:t>
      </w:r>
      <w:r w:rsidR="00A16F7F">
        <w:rPr>
          <w:b w:val="0"/>
        </w:rPr>
        <w:t>recent actual growth.</w:t>
      </w:r>
      <w:r>
        <w:rPr>
          <w:b w:val="0"/>
        </w:rPr>
        <w:t xml:space="preserve"> </w:t>
      </w:r>
      <w:r w:rsidR="00C01C10" w:rsidRPr="00C01C10">
        <w:rPr>
          <w:b w:val="0"/>
        </w:rPr>
        <w:t xml:space="preserve">Detailed model specifications can be found in the short-term </w:t>
      </w:r>
      <w:r w:rsidR="00DE67DB">
        <w:rPr>
          <w:b w:val="0"/>
        </w:rPr>
        <w:t xml:space="preserve">model </w:t>
      </w:r>
      <w:r w:rsidR="00C01C10" w:rsidRPr="00C01C10">
        <w:rPr>
          <w:b w:val="0"/>
        </w:rPr>
        <w:t>documentation, Section 4, while forecasted values can be found in Section 2</w:t>
      </w:r>
      <w:r w:rsidR="004775E0">
        <w:rPr>
          <w:b w:val="0"/>
        </w:rPr>
        <w:t xml:space="preserve"> above</w:t>
      </w:r>
      <w:r w:rsidR="00C01C10" w:rsidRPr="00C01C10">
        <w:rPr>
          <w:b w:val="0"/>
        </w:rPr>
        <w:t>.</w:t>
      </w:r>
      <w:bookmarkStart w:id="344" w:name="_Toc347155945"/>
      <w:bookmarkStart w:id="345" w:name="_Toc347120403"/>
      <w:bookmarkStart w:id="346" w:name="_Toc115595247"/>
      <w:bookmarkStart w:id="347" w:name="_Toc114629514"/>
    </w:p>
    <w:p w14:paraId="394DC918" w14:textId="77777777" w:rsidR="00165E84" w:rsidRDefault="00165E84" w:rsidP="00165E84">
      <w:pPr>
        <w:keepNext/>
        <w:spacing w:line="360" w:lineRule="auto"/>
        <w:jc w:val="left"/>
      </w:pPr>
    </w:p>
    <w:p w14:paraId="3D6B416D" w14:textId="3FC3101C" w:rsidR="00C01C10" w:rsidRPr="00C01C10" w:rsidRDefault="00C01C10" w:rsidP="00BC7C3C">
      <w:pPr>
        <w:keepNext/>
        <w:spacing w:line="360" w:lineRule="auto"/>
        <w:jc w:val="left"/>
      </w:pPr>
      <w:r w:rsidRPr="00C01C10">
        <w:t>Table 5.0-1 Model Type List</w:t>
      </w:r>
      <w:bookmarkEnd w:id="344"/>
      <w:bookmarkEnd w:id="345"/>
      <w:bookmarkEnd w:id="346"/>
      <w:bookmarkEnd w:id="347"/>
    </w:p>
    <w:p w14:paraId="56B9BC1A" w14:textId="77777777" w:rsidR="00C01C10" w:rsidRPr="00C01C10" w:rsidRDefault="00C01C10" w:rsidP="00BC7C3C">
      <w:pPr>
        <w:keepNext/>
        <w:jc w:val="left"/>
        <w:rPr>
          <w:rFonts w:ascii="Times New Roman" w:hAnsi="Times New Roman" w:cs="Times New Roman"/>
          <w:b w:val="0"/>
          <w:sz w:val="24"/>
          <w:szCs w:val="24"/>
        </w:rPr>
      </w:pPr>
    </w:p>
    <w:tbl>
      <w:tblPr>
        <w:tblW w:w="0" w:type="auto"/>
        <w:jc w:val="center"/>
        <w:tblBorders>
          <w:top w:val="single" w:sz="4" w:space="0" w:color="auto"/>
          <w:bottom w:val="single" w:sz="4" w:space="0" w:color="auto"/>
        </w:tblBorders>
        <w:tblLayout w:type="fixed"/>
        <w:tblLook w:val="04A0" w:firstRow="1" w:lastRow="0" w:firstColumn="1" w:lastColumn="0" w:noHBand="0" w:noVBand="1"/>
      </w:tblPr>
      <w:tblGrid>
        <w:gridCol w:w="3130"/>
        <w:gridCol w:w="2286"/>
        <w:gridCol w:w="2286"/>
      </w:tblGrid>
      <w:tr w:rsidR="00165E84" w:rsidRPr="00C01C10" w14:paraId="504DDFB2" w14:textId="77777777">
        <w:trPr>
          <w:jc w:val="center"/>
        </w:trPr>
        <w:tc>
          <w:tcPr>
            <w:tcW w:w="3130" w:type="dxa"/>
            <w:tcBorders>
              <w:top w:val="single" w:sz="4" w:space="0" w:color="auto"/>
              <w:left w:val="nil"/>
              <w:bottom w:val="nil"/>
              <w:right w:val="nil"/>
            </w:tcBorders>
            <w:hideMark/>
          </w:tcPr>
          <w:p w14:paraId="2E72128E" w14:textId="77777777" w:rsidR="00165E84" w:rsidRPr="009C6B5A" w:rsidRDefault="00165E84">
            <w:pPr>
              <w:keepNext/>
              <w:jc w:val="left"/>
              <w:rPr>
                <w:b w:val="0"/>
                <w:u w:val="single"/>
              </w:rPr>
            </w:pPr>
            <w:r w:rsidRPr="009C6B5A">
              <w:rPr>
                <w:b w:val="0"/>
                <w:u w:val="single"/>
              </w:rPr>
              <w:t>Class</w:t>
            </w:r>
          </w:p>
        </w:tc>
        <w:tc>
          <w:tcPr>
            <w:tcW w:w="2286" w:type="dxa"/>
            <w:tcBorders>
              <w:top w:val="single" w:sz="4" w:space="0" w:color="auto"/>
              <w:left w:val="nil"/>
              <w:bottom w:val="nil"/>
              <w:right w:val="nil"/>
            </w:tcBorders>
            <w:hideMark/>
          </w:tcPr>
          <w:p w14:paraId="693E94A5" w14:textId="77777777" w:rsidR="00165E84" w:rsidRPr="009C6B5A" w:rsidRDefault="00165E84">
            <w:pPr>
              <w:keepNext/>
              <w:jc w:val="left"/>
              <w:rPr>
                <w:b w:val="0"/>
                <w:u w:val="single"/>
              </w:rPr>
            </w:pPr>
            <w:r w:rsidRPr="009C6B5A">
              <w:rPr>
                <w:b w:val="0"/>
                <w:u w:val="single"/>
              </w:rPr>
              <w:t>Short-Term</w:t>
            </w:r>
          </w:p>
        </w:tc>
        <w:tc>
          <w:tcPr>
            <w:tcW w:w="2286" w:type="dxa"/>
            <w:tcBorders>
              <w:top w:val="single" w:sz="4" w:space="0" w:color="auto"/>
              <w:left w:val="nil"/>
              <w:bottom w:val="nil"/>
              <w:right w:val="nil"/>
            </w:tcBorders>
            <w:hideMark/>
          </w:tcPr>
          <w:p w14:paraId="20D96D96" w14:textId="77777777" w:rsidR="00165E84" w:rsidRPr="009C6B5A" w:rsidRDefault="00165E84">
            <w:pPr>
              <w:keepNext/>
              <w:jc w:val="left"/>
              <w:rPr>
                <w:b w:val="0"/>
                <w:u w:val="single"/>
              </w:rPr>
            </w:pPr>
            <w:r w:rsidRPr="009C6B5A">
              <w:rPr>
                <w:b w:val="0"/>
                <w:u w:val="single"/>
              </w:rPr>
              <w:t>Long-Term</w:t>
            </w:r>
          </w:p>
        </w:tc>
      </w:tr>
      <w:tr w:rsidR="00165E84" w:rsidRPr="00C01C10" w14:paraId="213726F0" w14:textId="77777777">
        <w:trPr>
          <w:jc w:val="center"/>
        </w:trPr>
        <w:tc>
          <w:tcPr>
            <w:tcW w:w="3130" w:type="dxa"/>
            <w:tcBorders>
              <w:top w:val="nil"/>
              <w:left w:val="nil"/>
              <w:bottom w:val="nil"/>
              <w:right w:val="nil"/>
            </w:tcBorders>
            <w:hideMark/>
          </w:tcPr>
          <w:p w14:paraId="568B7F16" w14:textId="77777777" w:rsidR="00165E84" w:rsidRPr="009C6B5A" w:rsidRDefault="00165E84">
            <w:pPr>
              <w:keepNext/>
              <w:jc w:val="left"/>
              <w:rPr>
                <w:b w:val="0"/>
              </w:rPr>
            </w:pPr>
            <w:r w:rsidRPr="009C6B5A">
              <w:rPr>
                <w:b w:val="0"/>
              </w:rPr>
              <w:t>Residential</w:t>
            </w:r>
          </w:p>
        </w:tc>
        <w:tc>
          <w:tcPr>
            <w:tcW w:w="2286" w:type="dxa"/>
            <w:tcBorders>
              <w:top w:val="nil"/>
              <w:left w:val="nil"/>
              <w:bottom w:val="nil"/>
              <w:right w:val="nil"/>
            </w:tcBorders>
            <w:hideMark/>
          </w:tcPr>
          <w:p w14:paraId="40975D83" w14:textId="77777777" w:rsidR="00165E84" w:rsidRPr="009C6B5A" w:rsidRDefault="00165E84">
            <w:pPr>
              <w:keepNext/>
              <w:jc w:val="left"/>
              <w:rPr>
                <w:b w:val="0"/>
              </w:rPr>
            </w:pPr>
            <w:r w:rsidRPr="009C6B5A">
              <w:rPr>
                <w:b w:val="0"/>
              </w:rPr>
              <w:t>Econometric</w:t>
            </w:r>
          </w:p>
        </w:tc>
        <w:tc>
          <w:tcPr>
            <w:tcW w:w="2286" w:type="dxa"/>
            <w:tcBorders>
              <w:top w:val="nil"/>
              <w:left w:val="nil"/>
              <w:bottom w:val="nil"/>
              <w:right w:val="nil"/>
            </w:tcBorders>
            <w:hideMark/>
          </w:tcPr>
          <w:p w14:paraId="09EB415C" w14:textId="77777777" w:rsidR="00165E84" w:rsidRPr="009C6B5A" w:rsidRDefault="00165E84">
            <w:pPr>
              <w:keepNext/>
              <w:jc w:val="left"/>
              <w:rPr>
                <w:b w:val="0"/>
              </w:rPr>
            </w:pPr>
            <w:r>
              <w:rPr>
                <w:b w:val="0"/>
              </w:rPr>
              <w:t>LoadMAP</w:t>
            </w:r>
          </w:p>
        </w:tc>
      </w:tr>
      <w:tr w:rsidR="00165E84" w:rsidRPr="00C01C10" w14:paraId="2ACE5FAE" w14:textId="77777777">
        <w:trPr>
          <w:jc w:val="center"/>
        </w:trPr>
        <w:tc>
          <w:tcPr>
            <w:tcW w:w="3130" w:type="dxa"/>
            <w:tcBorders>
              <w:top w:val="nil"/>
              <w:left w:val="nil"/>
              <w:bottom w:val="nil"/>
              <w:right w:val="nil"/>
            </w:tcBorders>
            <w:hideMark/>
          </w:tcPr>
          <w:p w14:paraId="5BDD87B9" w14:textId="77777777" w:rsidR="00165E84" w:rsidRPr="009C6B5A" w:rsidRDefault="00165E84">
            <w:pPr>
              <w:keepNext/>
              <w:jc w:val="left"/>
              <w:rPr>
                <w:b w:val="0"/>
              </w:rPr>
            </w:pPr>
            <w:r w:rsidRPr="009C6B5A">
              <w:rPr>
                <w:b w:val="0"/>
              </w:rPr>
              <w:t>Commercial</w:t>
            </w:r>
          </w:p>
        </w:tc>
        <w:tc>
          <w:tcPr>
            <w:tcW w:w="2286" w:type="dxa"/>
            <w:tcBorders>
              <w:top w:val="nil"/>
              <w:left w:val="nil"/>
              <w:bottom w:val="nil"/>
              <w:right w:val="nil"/>
            </w:tcBorders>
            <w:hideMark/>
          </w:tcPr>
          <w:p w14:paraId="5CACA96F" w14:textId="77777777" w:rsidR="00165E84" w:rsidRPr="009C6B5A" w:rsidRDefault="00165E84">
            <w:pPr>
              <w:keepNext/>
              <w:jc w:val="left"/>
              <w:rPr>
                <w:b w:val="0"/>
              </w:rPr>
            </w:pPr>
            <w:r w:rsidRPr="009C6B5A">
              <w:rPr>
                <w:b w:val="0"/>
              </w:rPr>
              <w:t>Econometric</w:t>
            </w:r>
          </w:p>
        </w:tc>
        <w:tc>
          <w:tcPr>
            <w:tcW w:w="2286" w:type="dxa"/>
            <w:tcBorders>
              <w:top w:val="nil"/>
              <w:left w:val="nil"/>
              <w:bottom w:val="nil"/>
              <w:right w:val="nil"/>
            </w:tcBorders>
            <w:hideMark/>
          </w:tcPr>
          <w:p w14:paraId="66ECF05F" w14:textId="77777777" w:rsidR="00165E84" w:rsidRPr="009C6B5A" w:rsidRDefault="00165E84">
            <w:pPr>
              <w:keepNext/>
              <w:jc w:val="left"/>
              <w:rPr>
                <w:b w:val="0"/>
              </w:rPr>
            </w:pPr>
            <w:r>
              <w:rPr>
                <w:b w:val="0"/>
              </w:rPr>
              <w:t>LoadMAP</w:t>
            </w:r>
          </w:p>
        </w:tc>
      </w:tr>
      <w:tr w:rsidR="00165E84" w:rsidRPr="00C01C10" w14:paraId="39A64EE5" w14:textId="77777777">
        <w:trPr>
          <w:jc w:val="center"/>
        </w:trPr>
        <w:tc>
          <w:tcPr>
            <w:tcW w:w="3130" w:type="dxa"/>
            <w:tcBorders>
              <w:top w:val="nil"/>
              <w:left w:val="nil"/>
              <w:bottom w:val="nil"/>
              <w:right w:val="nil"/>
            </w:tcBorders>
            <w:hideMark/>
          </w:tcPr>
          <w:p w14:paraId="4A3950A8" w14:textId="77777777" w:rsidR="00165E84" w:rsidRPr="009C6B5A" w:rsidRDefault="00165E84">
            <w:pPr>
              <w:keepNext/>
              <w:jc w:val="left"/>
              <w:rPr>
                <w:b w:val="0"/>
              </w:rPr>
            </w:pPr>
            <w:r w:rsidRPr="009C6B5A">
              <w:rPr>
                <w:b w:val="0"/>
              </w:rPr>
              <w:t>Industrial</w:t>
            </w:r>
          </w:p>
        </w:tc>
        <w:tc>
          <w:tcPr>
            <w:tcW w:w="2286" w:type="dxa"/>
            <w:tcBorders>
              <w:top w:val="nil"/>
              <w:left w:val="nil"/>
              <w:bottom w:val="nil"/>
              <w:right w:val="nil"/>
            </w:tcBorders>
            <w:hideMark/>
          </w:tcPr>
          <w:p w14:paraId="13D80A96" w14:textId="77777777" w:rsidR="00165E84" w:rsidRPr="009C6B5A" w:rsidRDefault="00165E84">
            <w:pPr>
              <w:keepNext/>
              <w:jc w:val="left"/>
              <w:rPr>
                <w:b w:val="0"/>
              </w:rPr>
            </w:pPr>
            <w:r w:rsidRPr="009C6B5A">
              <w:rPr>
                <w:b w:val="0"/>
              </w:rPr>
              <w:t>Econometric</w:t>
            </w:r>
          </w:p>
        </w:tc>
        <w:tc>
          <w:tcPr>
            <w:tcW w:w="2286" w:type="dxa"/>
            <w:tcBorders>
              <w:top w:val="nil"/>
              <w:left w:val="nil"/>
              <w:bottom w:val="nil"/>
              <w:right w:val="nil"/>
            </w:tcBorders>
            <w:hideMark/>
          </w:tcPr>
          <w:p w14:paraId="621ACFE4" w14:textId="77777777" w:rsidR="00165E84" w:rsidRPr="009C6B5A" w:rsidRDefault="00165E84">
            <w:pPr>
              <w:keepNext/>
              <w:jc w:val="left"/>
              <w:rPr>
                <w:b w:val="0"/>
              </w:rPr>
            </w:pPr>
            <w:r>
              <w:rPr>
                <w:b w:val="0"/>
              </w:rPr>
              <w:t>LoadMAP</w:t>
            </w:r>
          </w:p>
        </w:tc>
      </w:tr>
      <w:tr w:rsidR="00165E84" w:rsidRPr="00C01C10" w14:paraId="6B125AB1" w14:textId="77777777">
        <w:trPr>
          <w:jc w:val="center"/>
        </w:trPr>
        <w:tc>
          <w:tcPr>
            <w:tcW w:w="3130" w:type="dxa"/>
            <w:tcBorders>
              <w:top w:val="nil"/>
              <w:left w:val="nil"/>
              <w:bottom w:val="nil"/>
              <w:right w:val="nil"/>
            </w:tcBorders>
          </w:tcPr>
          <w:p w14:paraId="3C2D84B4" w14:textId="77777777" w:rsidR="00165E84" w:rsidRPr="009C6B5A" w:rsidRDefault="00165E84">
            <w:pPr>
              <w:keepNext/>
              <w:jc w:val="left"/>
              <w:rPr>
                <w:b w:val="0"/>
              </w:rPr>
            </w:pPr>
            <w:r w:rsidRPr="009C6B5A">
              <w:rPr>
                <w:b w:val="0"/>
              </w:rPr>
              <w:t>MARTA</w:t>
            </w:r>
          </w:p>
        </w:tc>
        <w:tc>
          <w:tcPr>
            <w:tcW w:w="2286" w:type="dxa"/>
            <w:tcBorders>
              <w:top w:val="nil"/>
              <w:left w:val="nil"/>
              <w:bottom w:val="nil"/>
              <w:right w:val="nil"/>
            </w:tcBorders>
          </w:tcPr>
          <w:p w14:paraId="3948BB3E" w14:textId="77777777" w:rsidR="00165E84" w:rsidRPr="009C6B5A" w:rsidRDefault="00165E84">
            <w:pPr>
              <w:keepNext/>
              <w:jc w:val="left"/>
              <w:rPr>
                <w:b w:val="0"/>
              </w:rPr>
            </w:pPr>
            <w:r w:rsidRPr="009C6B5A">
              <w:rPr>
                <w:b w:val="0"/>
              </w:rPr>
              <w:t>Econometric</w:t>
            </w:r>
          </w:p>
        </w:tc>
        <w:tc>
          <w:tcPr>
            <w:tcW w:w="2286" w:type="dxa"/>
            <w:tcBorders>
              <w:top w:val="nil"/>
              <w:left w:val="nil"/>
              <w:bottom w:val="nil"/>
              <w:right w:val="nil"/>
            </w:tcBorders>
          </w:tcPr>
          <w:p w14:paraId="364408CC" w14:textId="77777777" w:rsidR="00165E84" w:rsidRPr="009C6B5A" w:rsidRDefault="00165E84">
            <w:pPr>
              <w:keepNext/>
              <w:jc w:val="left"/>
              <w:rPr>
                <w:b w:val="0"/>
              </w:rPr>
            </w:pPr>
            <w:r>
              <w:rPr>
                <w:b w:val="0"/>
              </w:rPr>
              <w:t>Econometric</w:t>
            </w:r>
          </w:p>
        </w:tc>
      </w:tr>
      <w:tr w:rsidR="00165E84" w:rsidRPr="00C01C10" w14:paraId="7E7D544A" w14:textId="77777777">
        <w:trPr>
          <w:cantSplit/>
          <w:jc w:val="center"/>
        </w:trPr>
        <w:tc>
          <w:tcPr>
            <w:tcW w:w="3130" w:type="dxa"/>
            <w:tcBorders>
              <w:top w:val="nil"/>
              <w:left w:val="nil"/>
              <w:bottom w:val="nil"/>
              <w:right w:val="nil"/>
            </w:tcBorders>
            <w:hideMark/>
          </w:tcPr>
          <w:p w14:paraId="3A2E174F" w14:textId="77777777" w:rsidR="00165E84" w:rsidRPr="009C6B5A" w:rsidRDefault="00165E84">
            <w:pPr>
              <w:keepNext/>
              <w:jc w:val="left"/>
              <w:rPr>
                <w:b w:val="0"/>
              </w:rPr>
            </w:pPr>
            <w:r w:rsidRPr="009C6B5A">
              <w:rPr>
                <w:b w:val="0"/>
              </w:rPr>
              <w:t>Governmental Lighting</w:t>
            </w:r>
          </w:p>
        </w:tc>
        <w:tc>
          <w:tcPr>
            <w:tcW w:w="2286" w:type="dxa"/>
            <w:tcBorders>
              <w:top w:val="nil"/>
              <w:left w:val="nil"/>
              <w:bottom w:val="nil"/>
              <w:right w:val="nil"/>
            </w:tcBorders>
            <w:hideMark/>
          </w:tcPr>
          <w:p w14:paraId="154117D4" w14:textId="77777777" w:rsidR="00165E84" w:rsidRPr="009C6B5A" w:rsidRDefault="00165E84">
            <w:pPr>
              <w:keepNext/>
              <w:jc w:val="left"/>
              <w:rPr>
                <w:b w:val="0"/>
              </w:rPr>
            </w:pPr>
            <w:r>
              <w:rPr>
                <w:b w:val="0"/>
              </w:rPr>
              <w:t>Growth Rate</w:t>
            </w:r>
          </w:p>
        </w:tc>
        <w:tc>
          <w:tcPr>
            <w:tcW w:w="2286" w:type="dxa"/>
            <w:tcBorders>
              <w:top w:val="nil"/>
              <w:left w:val="nil"/>
              <w:bottom w:val="nil"/>
              <w:right w:val="nil"/>
            </w:tcBorders>
            <w:hideMark/>
          </w:tcPr>
          <w:p w14:paraId="7D3BE998" w14:textId="77777777" w:rsidR="00165E84" w:rsidRPr="009C6B5A" w:rsidRDefault="00165E84">
            <w:pPr>
              <w:keepNext/>
              <w:jc w:val="left"/>
              <w:rPr>
                <w:b w:val="0"/>
              </w:rPr>
            </w:pPr>
            <w:r>
              <w:rPr>
                <w:b w:val="0"/>
              </w:rPr>
              <w:t>Growth Rate</w:t>
            </w:r>
          </w:p>
        </w:tc>
      </w:tr>
      <w:tr w:rsidR="00165E84" w:rsidRPr="00C01C10" w14:paraId="5A1D1C25" w14:textId="77777777">
        <w:trPr>
          <w:cantSplit/>
          <w:jc w:val="center"/>
        </w:trPr>
        <w:tc>
          <w:tcPr>
            <w:tcW w:w="3130" w:type="dxa"/>
            <w:tcBorders>
              <w:top w:val="nil"/>
              <w:left w:val="nil"/>
              <w:bottom w:val="nil"/>
              <w:right w:val="nil"/>
            </w:tcBorders>
          </w:tcPr>
          <w:p w14:paraId="2917A6A0" w14:textId="77777777" w:rsidR="00165E84" w:rsidRPr="00C01C10" w:rsidRDefault="00165E84">
            <w:pPr>
              <w:keepNext/>
              <w:jc w:val="left"/>
              <w:rPr>
                <w:rFonts w:ascii="Times New Roman" w:hAnsi="Times New Roman" w:cs="Times New Roman"/>
                <w:b w:val="0"/>
                <w:sz w:val="24"/>
                <w:szCs w:val="24"/>
              </w:rPr>
            </w:pPr>
          </w:p>
        </w:tc>
        <w:tc>
          <w:tcPr>
            <w:tcW w:w="2286" w:type="dxa"/>
            <w:tcBorders>
              <w:top w:val="nil"/>
              <w:left w:val="nil"/>
              <w:bottom w:val="nil"/>
              <w:right w:val="nil"/>
            </w:tcBorders>
          </w:tcPr>
          <w:p w14:paraId="0B6018D4" w14:textId="77777777" w:rsidR="00165E84" w:rsidRPr="00C01C10" w:rsidRDefault="00165E84">
            <w:pPr>
              <w:keepNext/>
              <w:jc w:val="left"/>
              <w:rPr>
                <w:rFonts w:ascii="Times New Roman" w:hAnsi="Times New Roman" w:cs="Times New Roman"/>
                <w:b w:val="0"/>
                <w:sz w:val="24"/>
                <w:szCs w:val="24"/>
              </w:rPr>
            </w:pPr>
          </w:p>
        </w:tc>
        <w:tc>
          <w:tcPr>
            <w:tcW w:w="2286" w:type="dxa"/>
            <w:tcBorders>
              <w:top w:val="nil"/>
              <w:left w:val="nil"/>
              <w:bottom w:val="nil"/>
              <w:right w:val="nil"/>
            </w:tcBorders>
          </w:tcPr>
          <w:p w14:paraId="00A5222F" w14:textId="77777777" w:rsidR="00165E84" w:rsidRPr="00C01C10" w:rsidRDefault="00165E84">
            <w:pPr>
              <w:keepNext/>
              <w:jc w:val="left"/>
              <w:rPr>
                <w:rFonts w:ascii="Times New Roman" w:hAnsi="Times New Roman" w:cs="Times New Roman"/>
                <w:b w:val="0"/>
                <w:sz w:val="24"/>
                <w:szCs w:val="24"/>
              </w:rPr>
            </w:pPr>
          </w:p>
        </w:tc>
      </w:tr>
    </w:tbl>
    <w:p w14:paraId="0E267DF2" w14:textId="6F60FF01" w:rsidR="002A5C66" w:rsidRDefault="002A5C66" w:rsidP="00C01C10">
      <w:pPr>
        <w:spacing w:after="120" w:line="360" w:lineRule="auto"/>
        <w:jc w:val="both"/>
        <w:rPr>
          <w:b w:val="0"/>
        </w:rPr>
      </w:pPr>
    </w:p>
    <w:p w14:paraId="7723BA21" w14:textId="77777777" w:rsidR="002A5C66" w:rsidRDefault="002A5C66">
      <w:pPr>
        <w:spacing w:after="200" w:line="276" w:lineRule="auto"/>
        <w:jc w:val="left"/>
        <w:rPr>
          <w:b w:val="0"/>
        </w:rPr>
      </w:pPr>
      <w:r>
        <w:rPr>
          <w:b w:val="0"/>
        </w:rPr>
        <w:br w:type="page"/>
      </w:r>
    </w:p>
    <w:p w14:paraId="4C14F91E" w14:textId="4ABE22E8" w:rsidR="00CD1924" w:rsidRPr="00CD1924" w:rsidRDefault="00CD1924" w:rsidP="00CD1924">
      <w:pPr>
        <w:pStyle w:val="Heading1"/>
        <w:jc w:val="left"/>
        <w:rPr>
          <w:rFonts w:ascii="Arial" w:hAnsi="Arial" w:cs="Arial"/>
          <w:b/>
          <w:color w:val="auto"/>
        </w:rPr>
      </w:pPr>
      <w:bookmarkStart w:id="348" w:name="_Toc188257149"/>
      <w:bookmarkStart w:id="349" w:name="_Toc188257364"/>
      <w:bookmarkStart w:id="350" w:name="_Toc188257588"/>
      <w:bookmarkStart w:id="351" w:name="_Toc189162597"/>
      <w:r w:rsidRPr="00CD1924">
        <w:rPr>
          <w:rFonts w:ascii="Arial" w:hAnsi="Arial" w:cs="Arial"/>
          <w:b/>
          <w:color w:val="auto"/>
        </w:rPr>
        <w:lastRenderedPageBreak/>
        <w:t>5.1</w:t>
      </w:r>
      <w:r w:rsidRPr="00CD1924">
        <w:rPr>
          <w:rFonts w:ascii="Arial" w:hAnsi="Arial" w:cs="Arial"/>
          <w:b/>
          <w:color w:val="auto"/>
        </w:rPr>
        <w:tab/>
        <w:t>LONG-TERM ENERGY SALES</w:t>
      </w:r>
      <w:bookmarkEnd w:id="340"/>
      <w:bookmarkEnd w:id="341"/>
      <w:bookmarkEnd w:id="342"/>
      <w:bookmarkEnd w:id="348"/>
      <w:bookmarkEnd w:id="349"/>
      <w:bookmarkEnd w:id="350"/>
      <w:bookmarkEnd w:id="351"/>
    </w:p>
    <w:p w14:paraId="5BA5D65A" w14:textId="77777777" w:rsidR="00CD1924" w:rsidRPr="00573B68" w:rsidRDefault="00CD1924" w:rsidP="00573B68">
      <w:pPr>
        <w:rPr>
          <w:sz w:val="24"/>
          <w:szCs w:val="24"/>
        </w:rPr>
      </w:pPr>
      <w:bookmarkStart w:id="352" w:name="_Toc347120405"/>
    </w:p>
    <w:p w14:paraId="041D2E77" w14:textId="77777777" w:rsidR="00CD1924" w:rsidRPr="00CD1924" w:rsidRDefault="00CD1924" w:rsidP="00CD1924">
      <w:pPr>
        <w:pStyle w:val="Heading2"/>
        <w:jc w:val="left"/>
        <w:rPr>
          <w:rFonts w:ascii="Arial" w:hAnsi="Arial" w:cs="Arial"/>
          <w:b/>
          <w:color w:val="auto"/>
          <w:sz w:val="20"/>
          <w:szCs w:val="20"/>
        </w:rPr>
      </w:pPr>
      <w:bookmarkStart w:id="353" w:name="_Toc188257150"/>
      <w:bookmarkStart w:id="354" w:name="_Toc188257365"/>
      <w:bookmarkStart w:id="355" w:name="_Toc188257589"/>
      <w:bookmarkStart w:id="356" w:name="_Toc189162598"/>
      <w:r w:rsidRPr="00CD1924">
        <w:rPr>
          <w:rFonts w:ascii="Arial" w:hAnsi="Arial" w:cs="Arial"/>
          <w:b/>
          <w:color w:val="auto"/>
          <w:sz w:val="20"/>
          <w:szCs w:val="20"/>
        </w:rPr>
        <w:t>5.1.1</w:t>
      </w:r>
      <w:r w:rsidRPr="00CD1924">
        <w:rPr>
          <w:rFonts w:ascii="Arial" w:hAnsi="Arial" w:cs="Arial"/>
          <w:b/>
          <w:color w:val="auto"/>
          <w:sz w:val="20"/>
          <w:szCs w:val="20"/>
        </w:rPr>
        <w:tab/>
        <w:t>Residential Long-Term Energy Sales</w:t>
      </w:r>
      <w:bookmarkEnd w:id="352"/>
      <w:bookmarkEnd w:id="353"/>
      <w:bookmarkEnd w:id="354"/>
      <w:bookmarkEnd w:id="355"/>
      <w:bookmarkEnd w:id="356"/>
    </w:p>
    <w:p w14:paraId="6E8C30B1" w14:textId="77777777" w:rsidR="00CD1924" w:rsidRDefault="00CD1924" w:rsidP="00CD1924">
      <w:pPr>
        <w:pStyle w:val="BodyText"/>
        <w:spacing w:line="360" w:lineRule="auto"/>
        <w:jc w:val="left"/>
        <w:rPr>
          <w:b w:val="0"/>
        </w:rPr>
      </w:pPr>
    </w:p>
    <w:p w14:paraId="525B2716" w14:textId="75B54280" w:rsidR="00C01C10" w:rsidRPr="00C01C10" w:rsidRDefault="0077642A" w:rsidP="00C01C10">
      <w:pPr>
        <w:spacing w:line="360" w:lineRule="auto"/>
        <w:jc w:val="both"/>
        <w:rPr>
          <w:b w:val="0"/>
          <w:szCs w:val="24"/>
        </w:rPr>
      </w:pPr>
      <w:r w:rsidRPr="00F63DA9">
        <w:rPr>
          <w:b w:val="0"/>
          <w:bCs/>
          <w:szCs w:val="24"/>
        </w:rPr>
        <w:t>LoadMAP forecasts end-use or appliance-specific residential energy consumption using a variety of demographic, housing, economic, energy, and weather information. It models energy consumption for three main components: housing stock served (customers), share of the housing stock served by appliance end-use by fuel type, and unit energy consumption of the appliance/equipment by fuel type. End-use by fuel type refers to a class of technologies (appliances) that consume a particular fuel (electricity or natural gas)</w:t>
      </w:r>
      <w:r w:rsidR="00D43B94">
        <w:rPr>
          <w:b w:val="0"/>
          <w:bCs/>
          <w:szCs w:val="24"/>
        </w:rPr>
        <w:t>,</w:t>
      </w:r>
      <w:r w:rsidRPr="00F63DA9">
        <w:rPr>
          <w:b w:val="0"/>
          <w:bCs/>
          <w:szCs w:val="24"/>
        </w:rPr>
        <w:t xml:space="preserve"> such as electric clothes dryers or gas stovetops. Technologies refer to specific </w:t>
      </w:r>
      <w:r w:rsidR="004775E0">
        <w:rPr>
          <w:b w:val="0"/>
          <w:bCs/>
          <w:szCs w:val="24"/>
        </w:rPr>
        <w:t>types of energy using appliances.</w:t>
      </w:r>
      <w:r w:rsidRPr="00F63DA9">
        <w:rPr>
          <w:b w:val="0"/>
          <w:bCs/>
          <w:szCs w:val="24"/>
        </w:rPr>
        <w:t xml:space="preserve"> </w:t>
      </w:r>
      <w:r w:rsidR="00E06612">
        <w:rPr>
          <w:b w:val="0"/>
          <w:bCs/>
          <w:szCs w:val="24"/>
        </w:rPr>
        <w:t>As an example, c</w:t>
      </w:r>
      <w:r w:rsidRPr="00F63DA9">
        <w:rPr>
          <w:b w:val="0"/>
          <w:bCs/>
          <w:szCs w:val="24"/>
        </w:rPr>
        <w:t>lothes dryers are in the end use of appliances with two technologies: standard and EnergyStar.</w:t>
      </w:r>
      <w:r w:rsidR="00616255">
        <w:rPr>
          <w:b w:val="0"/>
          <w:szCs w:val="24"/>
        </w:rPr>
        <w:t xml:space="preserve"> </w:t>
      </w:r>
    </w:p>
    <w:p w14:paraId="0DF76B82" w14:textId="77777777" w:rsidR="00C01C10" w:rsidRPr="00C01C10" w:rsidRDefault="00C01C10" w:rsidP="0087192A">
      <w:pPr>
        <w:spacing w:line="360" w:lineRule="auto"/>
        <w:jc w:val="both"/>
        <w:rPr>
          <w:b w:val="0"/>
          <w:szCs w:val="24"/>
        </w:rPr>
      </w:pPr>
    </w:p>
    <w:p w14:paraId="67E41F02" w14:textId="7D023965" w:rsidR="00C01C10" w:rsidRPr="00C01C10" w:rsidRDefault="00C01C10" w:rsidP="00C01C10">
      <w:pPr>
        <w:spacing w:line="360" w:lineRule="auto"/>
        <w:jc w:val="both"/>
        <w:rPr>
          <w:b w:val="0"/>
          <w:szCs w:val="24"/>
        </w:rPr>
      </w:pPr>
      <w:r w:rsidRPr="00C01C10">
        <w:rPr>
          <w:b w:val="0"/>
          <w:szCs w:val="24"/>
        </w:rPr>
        <w:t>LoadMAP simulates household energy decisions with respect to three basic types of choices</w:t>
      </w:r>
      <w:r w:rsidR="001328E0">
        <w:rPr>
          <w:b w:val="0"/>
          <w:szCs w:val="24"/>
        </w:rPr>
        <w:t xml:space="preserve"> — </w:t>
      </w:r>
      <w:r w:rsidRPr="00C01C10">
        <w:rPr>
          <w:b w:val="0"/>
          <w:szCs w:val="24"/>
        </w:rPr>
        <w:t>appliance ownership by fuel type, appliance efficiency, and appliance utilization (energy usage). For a given end</w:t>
      </w:r>
      <w:r w:rsidR="00A54A9E">
        <w:rPr>
          <w:b w:val="0"/>
          <w:szCs w:val="24"/>
        </w:rPr>
        <w:t xml:space="preserve"> </w:t>
      </w:r>
      <w:r w:rsidRPr="00C01C10">
        <w:rPr>
          <w:b w:val="0"/>
          <w:szCs w:val="24"/>
        </w:rPr>
        <w:t xml:space="preserve">use and fuel type, consumption is the product of the number of households, </w:t>
      </w:r>
      <w:r w:rsidR="001328E0">
        <w:rPr>
          <w:b w:val="0"/>
          <w:szCs w:val="24"/>
        </w:rPr>
        <w:t xml:space="preserve">the </w:t>
      </w:r>
      <w:r w:rsidRPr="00C01C10">
        <w:rPr>
          <w:b w:val="0"/>
          <w:szCs w:val="24"/>
        </w:rPr>
        <w:t>percentage of the segment (households) with the end</w:t>
      </w:r>
      <w:r w:rsidR="00A54A9E">
        <w:rPr>
          <w:b w:val="0"/>
          <w:szCs w:val="24"/>
        </w:rPr>
        <w:t xml:space="preserve"> </w:t>
      </w:r>
      <w:r w:rsidRPr="00C01C10">
        <w:rPr>
          <w:b w:val="0"/>
          <w:szCs w:val="24"/>
        </w:rPr>
        <w:t xml:space="preserve">use, and the average unit energy consumption. The equation that uses these three main components to determine consumption, or sales, is called the central energy equation. </w:t>
      </w:r>
    </w:p>
    <w:p w14:paraId="35868630" w14:textId="77777777" w:rsidR="00C01C10" w:rsidRPr="00C01C10" w:rsidRDefault="00C01C10" w:rsidP="00C01C10">
      <w:pPr>
        <w:spacing w:line="360" w:lineRule="auto"/>
        <w:jc w:val="left"/>
        <w:rPr>
          <w:b w:val="0"/>
          <w:szCs w:val="24"/>
        </w:rPr>
      </w:pPr>
    </w:p>
    <w:p w14:paraId="04D6BFF3" w14:textId="77777777" w:rsidR="00C01C10" w:rsidRPr="00C01C10" w:rsidRDefault="00E150E3" w:rsidP="00C01C10">
      <w:pPr>
        <w:spacing w:line="360" w:lineRule="auto"/>
        <w:jc w:val="left"/>
        <w:rPr>
          <w:b w:val="0"/>
          <w:szCs w:val="24"/>
        </w:rPr>
      </w:pPr>
      <w:r>
        <w:rPr>
          <w:b w:val="0"/>
          <w:noProof/>
          <w:szCs w:val="24"/>
        </w:rPr>
        <w:object w:dxaOrig="1440" w:dyaOrig="1440" w14:anchorId="1221CF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6pt;margin-top:3.4pt;width:185pt;height:27pt;z-index:251658240;visibility:visible">
            <v:imagedata r:id="rId46" o:title=""/>
          </v:shape>
          <o:OLEObject Type="Embed" ProgID="Equation.3" ShapeID="_x0000_s2056" DrawAspect="Content" ObjectID="_1799775382" r:id="rId47"/>
        </w:object>
      </w:r>
    </w:p>
    <w:p w14:paraId="3D8E7EF5" w14:textId="77777777" w:rsidR="00C01C10" w:rsidRPr="00C01C10" w:rsidRDefault="00C01C10" w:rsidP="00C01C10">
      <w:pPr>
        <w:spacing w:line="360" w:lineRule="auto"/>
        <w:jc w:val="left"/>
        <w:rPr>
          <w:b w:val="0"/>
          <w:szCs w:val="24"/>
        </w:rPr>
      </w:pPr>
    </w:p>
    <w:p w14:paraId="1EA940E4" w14:textId="77777777" w:rsidR="00C01C10" w:rsidRPr="00C01C10" w:rsidRDefault="00C01C10" w:rsidP="00C01C10">
      <w:pPr>
        <w:spacing w:line="360" w:lineRule="auto"/>
        <w:jc w:val="left"/>
        <w:rPr>
          <w:b w:val="0"/>
          <w:szCs w:val="24"/>
        </w:rPr>
      </w:pPr>
    </w:p>
    <w:p w14:paraId="5E2B3408" w14:textId="77777777" w:rsidR="00C01C10" w:rsidRDefault="00C01C10" w:rsidP="00943F4C">
      <w:pPr>
        <w:jc w:val="left"/>
        <w:rPr>
          <w:b w:val="0"/>
          <w:szCs w:val="24"/>
        </w:rPr>
      </w:pPr>
      <w:r w:rsidRPr="00C01C10">
        <w:rPr>
          <w:b w:val="0"/>
          <w:szCs w:val="24"/>
        </w:rPr>
        <w:t>Where:</w:t>
      </w:r>
    </w:p>
    <w:p w14:paraId="7C841A75" w14:textId="77777777" w:rsidR="007A4D57" w:rsidRPr="00C01C10" w:rsidRDefault="007A4D57" w:rsidP="00943F4C">
      <w:pPr>
        <w:jc w:val="left"/>
        <w:rPr>
          <w:b w:val="0"/>
          <w:szCs w:val="24"/>
        </w:rPr>
      </w:pPr>
    </w:p>
    <w:p w14:paraId="2904E269" w14:textId="7D887EE2" w:rsidR="00C01C10" w:rsidRPr="00C01C10" w:rsidRDefault="00C01C10" w:rsidP="00C01C10">
      <w:pPr>
        <w:spacing w:line="360" w:lineRule="auto"/>
        <w:jc w:val="left"/>
        <w:rPr>
          <w:b w:val="0"/>
          <w:szCs w:val="24"/>
        </w:rPr>
      </w:pPr>
      <w:r w:rsidRPr="00C01C10">
        <w:rPr>
          <w:b w:val="0"/>
          <w:szCs w:val="24"/>
        </w:rPr>
        <w:t>Energy</w:t>
      </w:r>
      <w:r w:rsidRPr="00C01C10">
        <w:rPr>
          <w:b w:val="0"/>
          <w:szCs w:val="24"/>
        </w:rPr>
        <w:tab/>
        <w:t xml:space="preserve">= </w:t>
      </w:r>
      <w:r w:rsidRPr="00C01C10">
        <w:rPr>
          <w:b w:val="0"/>
          <w:szCs w:val="24"/>
        </w:rPr>
        <w:tab/>
        <w:t>annual energy use in a particular segment (e.g., residential single</w:t>
      </w:r>
      <w:r w:rsidR="001328E0">
        <w:rPr>
          <w:b w:val="0"/>
          <w:szCs w:val="24"/>
        </w:rPr>
        <w:t>-</w:t>
      </w:r>
      <w:r w:rsidRPr="00C01C10">
        <w:rPr>
          <w:b w:val="0"/>
          <w:szCs w:val="24"/>
        </w:rPr>
        <w:t>family homes)</w:t>
      </w:r>
    </w:p>
    <w:p w14:paraId="3B6E9DED" w14:textId="66AD32F7" w:rsidR="00C01C10" w:rsidRPr="00C01C10" w:rsidRDefault="00C01C10" w:rsidP="00C01C10">
      <w:pPr>
        <w:spacing w:line="360" w:lineRule="auto"/>
        <w:jc w:val="left"/>
        <w:rPr>
          <w:b w:val="0"/>
          <w:szCs w:val="24"/>
        </w:rPr>
      </w:pPr>
      <w:r w:rsidRPr="00C01C10">
        <w:rPr>
          <w:b w:val="0"/>
          <w:szCs w:val="24"/>
        </w:rPr>
        <w:t>t</w:t>
      </w:r>
      <w:r w:rsidR="00616255">
        <w:rPr>
          <w:b w:val="0"/>
          <w:szCs w:val="24"/>
        </w:rPr>
        <w:t xml:space="preserve">   </w:t>
      </w:r>
      <w:r w:rsidRPr="00C01C10">
        <w:rPr>
          <w:b w:val="0"/>
          <w:szCs w:val="24"/>
        </w:rPr>
        <w:tab/>
        <w:t xml:space="preserve">= </w:t>
      </w:r>
      <w:r w:rsidRPr="00C01C10">
        <w:rPr>
          <w:b w:val="0"/>
          <w:szCs w:val="24"/>
        </w:rPr>
        <w:tab/>
        <w:t>technology</w:t>
      </w:r>
      <w:r w:rsidR="00F63DA9">
        <w:rPr>
          <w:b w:val="0"/>
          <w:szCs w:val="24"/>
        </w:rPr>
        <w:t xml:space="preserve"> (appliance/equipment)</w:t>
      </w:r>
    </w:p>
    <w:p w14:paraId="1DAD6763" w14:textId="62842565" w:rsidR="00C01C10" w:rsidRPr="00C01C10" w:rsidRDefault="00C01C10" w:rsidP="00C01C10">
      <w:pPr>
        <w:spacing w:line="360" w:lineRule="auto"/>
        <w:jc w:val="left"/>
        <w:rPr>
          <w:b w:val="0"/>
          <w:szCs w:val="24"/>
        </w:rPr>
      </w:pPr>
      <w:r w:rsidRPr="00C01C10">
        <w:rPr>
          <w:b w:val="0"/>
          <w:szCs w:val="24"/>
        </w:rPr>
        <w:t>e</w:t>
      </w:r>
      <w:r w:rsidR="00616255">
        <w:rPr>
          <w:b w:val="0"/>
          <w:szCs w:val="24"/>
        </w:rPr>
        <w:t xml:space="preserve">    </w:t>
      </w:r>
      <w:r w:rsidRPr="00C01C10">
        <w:rPr>
          <w:b w:val="0"/>
          <w:szCs w:val="24"/>
        </w:rPr>
        <w:tab/>
        <w:t xml:space="preserve">= </w:t>
      </w:r>
      <w:r w:rsidRPr="00C01C10">
        <w:rPr>
          <w:b w:val="0"/>
          <w:szCs w:val="24"/>
        </w:rPr>
        <w:tab/>
        <w:t xml:space="preserve">end use </w:t>
      </w:r>
      <w:r w:rsidR="00F63DA9">
        <w:rPr>
          <w:b w:val="0"/>
          <w:szCs w:val="24"/>
        </w:rPr>
        <w:t>(group of like technologies)</w:t>
      </w:r>
    </w:p>
    <w:p w14:paraId="20641616" w14:textId="1DDD978D" w:rsidR="00C01C10" w:rsidRPr="00C01C10" w:rsidRDefault="00C01C10" w:rsidP="00C01C10">
      <w:pPr>
        <w:spacing w:line="360" w:lineRule="auto"/>
        <w:jc w:val="left"/>
        <w:rPr>
          <w:b w:val="0"/>
          <w:szCs w:val="24"/>
        </w:rPr>
      </w:pPr>
      <w:r w:rsidRPr="00C01C10">
        <w:rPr>
          <w:b w:val="0"/>
          <w:szCs w:val="24"/>
        </w:rPr>
        <w:t>N</w:t>
      </w:r>
      <w:r w:rsidR="00616255">
        <w:rPr>
          <w:b w:val="0"/>
          <w:szCs w:val="24"/>
        </w:rPr>
        <w:t xml:space="preserve">    </w:t>
      </w:r>
      <w:r w:rsidRPr="00C01C10">
        <w:rPr>
          <w:b w:val="0"/>
          <w:szCs w:val="24"/>
        </w:rPr>
        <w:tab/>
        <w:t xml:space="preserve">= </w:t>
      </w:r>
      <w:r w:rsidRPr="00C01C10">
        <w:rPr>
          <w:b w:val="0"/>
          <w:szCs w:val="24"/>
        </w:rPr>
        <w:tab/>
        <w:t xml:space="preserve">market size (e.g., number of single-family homes) </w:t>
      </w:r>
    </w:p>
    <w:p w14:paraId="71C4DA20" w14:textId="590BCFD7" w:rsidR="001328E0" w:rsidRDefault="00C01C10" w:rsidP="00C01C10">
      <w:pPr>
        <w:jc w:val="left"/>
        <w:rPr>
          <w:b w:val="0"/>
          <w:szCs w:val="24"/>
        </w:rPr>
      </w:pPr>
      <w:r w:rsidRPr="00C01C10">
        <w:rPr>
          <w:b w:val="0"/>
          <w:szCs w:val="24"/>
        </w:rPr>
        <w:t>Share</w:t>
      </w:r>
      <w:r w:rsidRPr="001328E0">
        <w:rPr>
          <w:b w:val="0"/>
          <w:sz w:val="24"/>
          <w:szCs w:val="24"/>
          <w:vertAlign w:val="subscript"/>
        </w:rPr>
        <w:t>t</w:t>
      </w:r>
      <w:r w:rsidR="00616255">
        <w:rPr>
          <w:b w:val="0"/>
          <w:szCs w:val="24"/>
        </w:rPr>
        <w:t xml:space="preserve"> </w:t>
      </w:r>
      <w:r w:rsidRPr="00C01C10">
        <w:rPr>
          <w:b w:val="0"/>
          <w:szCs w:val="24"/>
        </w:rPr>
        <w:tab/>
        <w:t xml:space="preserve">= </w:t>
      </w:r>
      <w:r w:rsidRPr="00C01C10">
        <w:rPr>
          <w:b w:val="0"/>
          <w:szCs w:val="24"/>
        </w:rPr>
        <w:tab/>
        <w:t>share of market with the end use (e.g., single</w:t>
      </w:r>
      <w:r w:rsidR="001328E0">
        <w:rPr>
          <w:b w:val="0"/>
          <w:szCs w:val="24"/>
        </w:rPr>
        <w:t>-</w:t>
      </w:r>
      <w:r w:rsidRPr="00C01C10">
        <w:rPr>
          <w:b w:val="0"/>
          <w:szCs w:val="24"/>
        </w:rPr>
        <w:t>family homes with the end use). This is</w:t>
      </w:r>
    </w:p>
    <w:p w14:paraId="0E959F82" w14:textId="1B322A3A" w:rsidR="00C01C10" w:rsidRPr="00C01C10" w:rsidRDefault="001328E0" w:rsidP="00C01C10">
      <w:pPr>
        <w:jc w:val="left"/>
        <w:rPr>
          <w:b w:val="0"/>
          <w:szCs w:val="24"/>
        </w:rPr>
      </w:pPr>
      <w:r>
        <w:rPr>
          <w:b w:val="0"/>
          <w:szCs w:val="24"/>
        </w:rPr>
        <w:tab/>
      </w:r>
      <w:r>
        <w:rPr>
          <w:b w:val="0"/>
          <w:szCs w:val="24"/>
        </w:rPr>
        <w:tab/>
        <w:t>a</w:t>
      </w:r>
      <w:r w:rsidR="00C01C10" w:rsidRPr="00C01C10">
        <w:rPr>
          <w:b w:val="0"/>
          <w:szCs w:val="24"/>
        </w:rPr>
        <w:t>lso</w:t>
      </w:r>
      <w:r>
        <w:rPr>
          <w:b w:val="0"/>
          <w:szCs w:val="24"/>
        </w:rPr>
        <w:t xml:space="preserve"> </w:t>
      </w:r>
      <w:r w:rsidR="00C01C10" w:rsidRPr="00C01C10">
        <w:rPr>
          <w:b w:val="0"/>
          <w:szCs w:val="24"/>
        </w:rPr>
        <w:t>refer</w:t>
      </w:r>
      <w:r w:rsidR="00C01C10">
        <w:rPr>
          <w:b w:val="0"/>
          <w:szCs w:val="24"/>
        </w:rPr>
        <w:t>r</w:t>
      </w:r>
      <w:r w:rsidR="00C01C10" w:rsidRPr="00C01C10">
        <w:rPr>
          <w:b w:val="0"/>
          <w:szCs w:val="24"/>
        </w:rPr>
        <w:t>ed to as the end-use saturation.</w:t>
      </w:r>
    </w:p>
    <w:p w14:paraId="0DFDBA17" w14:textId="35316038" w:rsidR="00F63DA9" w:rsidRDefault="00C01C10" w:rsidP="00120D3A">
      <w:pPr>
        <w:ind w:left="720" w:hanging="720"/>
        <w:jc w:val="left"/>
        <w:rPr>
          <w:b w:val="0"/>
          <w:szCs w:val="24"/>
        </w:rPr>
      </w:pPr>
      <w:r w:rsidRPr="00C01C10">
        <w:rPr>
          <w:b w:val="0"/>
          <w:szCs w:val="24"/>
        </w:rPr>
        <w:t>UEC</w:t>
      </w:r>
      <w:r w:rsidRPr="00C01C10">
        <w:rPr>
          <w:b w:val="0"/>
          <w:sz w:val="24"/>
          <w:szCs w:val="24"/>
          <w:vertAlign w:val="subscript"/>
        </w:rPr>
        <w:t>t</w:t>
      </w:r>
      <w:r w:rsidR="00616255">
        <w:rPr>
          <w:b w:val="0"/>
          <w:szCs w:val="24"/>
        </w:rPr>
        <w:t xml:space="preserve"> </w:t>
      </w:r>
      <w:r w:rsidRPr="00C01C10">
        <w:rPr>
          <w:b w:val="0"/>
          <w:szCs w:val="24"/>
        </w:rPr>
        <w:tab/>
        <w:t xml:space="preserve">= </w:t>
      </w:r>
      <w:r w:rsidRPr="00C01C10">
        <w:rPr>
          <w:b w:val="0"/>
          <w:szCs w:val="24"/>
        </w:rPr>
        <w:tab/>
        <w:t>unit energy consumption in unit of market size (e.g., single-family homes) with the</w:t>
      </w:r>
    </w:p>
    <w:p w14:paraId="480212A1" w14:textId="1D6EC488" w:rsidR="00C01C10" w:rsidRPr="00C01C10" w:rsidRDefault="00F63DA9" w:rsidP="00F63DA9">
      <w:pPr>
        <w:ind w:left="720" w:firstLine="720"/>
        <w:jc w:val="left"/>
        <w:rPr>
          <w:b w:val="0"/>
          <w:szCs w:val="24"/>
        </w:rPr>
      </w:pPr>
      <w:r>
        <w:rPr>
          <w:b w:val="0"/>
          <w:szCs w:val="24"/>
        </w:rPr>
        <w:t>technology</w:t>
      </w:r>
    </w:p>
    <w:p w14:paraId="1291969D" w14:textId="39F8AE22" w:rsidR="00C01C10" w:rsidRDefault="00C01C10" w:rsidP="00C01C10">
      <w:pPr>
        <w:spacing w:line="360" w:lineRule="auto"/>
        <w:jc w:val="left"/>
        <w:rPr>
          <w:b w:val="0"/>
          <w:szCs w:val="24"/>
        </w:rPr>
      </w:pPr>
      <w:r w:rsidRPr="00C01C10">
        <w:rPr>
          <w:b w:val="0"/>
          <w:szCs w:val="24"/>
        </w:rPr>
        <w:t>U</w:t>
      </w:r>
      <w:r w:rsidRPr="00C01C10">
        <w:rPr>
          <w:b w:val="0"/>
          <w:sz w:val="24"/>
          <w:szCs w:val="24"/>
          <w:vertAlign w:val="subscript"/>
        </w:rPr>
        <w:t>e</w:t>
      </w:r>
      <w:r w:rsidR="00616255">
        <w:rPr>
          <w:b w:val="0"/>
          <w:szCs w:val="24"/>
        </w:rPr>
        <w:t xml:space="preserve">   </w:t>
      </w:r>
      <w:r w:rsidRPr="00C01C10">
        <w:rPr>
          <w:b w:val="0"/>
          <w:szCs w:val="24"/>
        </w:rPr>
        <w:tab/>
        <w:t xml:space="preserve">= </w:t>
      </w:r>
      <w:r w:rsidRPr="00C01C10">
        <w:rPr>
          <w:b w:val="0"/>
          <w:szCs w:val="24"/>
        </w:rPr>
        <w:tab/>
        <w:t>utilization index (equals 1.0 in base year)</w:t>
      </w:r>
    </w:p>
    <w:p w14:paraId="764BBCA1" w14:textId="77777777" w:rsidR="001B5EC7" w:rsidRDefault="001B5EC7" w:rsidP="001B5EC7">
      <w:pPr>
        <w:pStyle w:val="BodyText"/>
        <w:spacing w:after="0"/>
        <w:ind w:left="1008" w:hanging="1008"/>
        <w:jc w:val="left"/>
        <w:rPr>
          <w:b w:val="0"/>
        </w:rPr>
      </w:pPr>
    </w:p>
    <w:p w14:paraId="52906426" w14:textId="18B123AB" w:rsidR="001B5EC7" w:rsidRDefault="001B5EC7" w:rsidP="001B5EC7">
      <w:pPr>
        <w:pStyle w:val="BodyText"/>
        <w:spacing w:after="0"/>
        <w:ind w:left="1008" w:hanging="1008"/>
        <w:jc w:val="left"/>
        <w:rPr>
          <w:b w:val="0"/>
        </w:rPr>
      </w:pPr>
      <w:r w:rsidRPr="001B5EC7">
        <w:rPr>
          <w:b w:val="0"/>
        </w:rPr>
        <w:t xml:space="preserve">The elements of the central energy equation in the base year are contained in an </w:t>
      </w:r>
      <w:r w:rsidRPr="001B5EC7">
        <w:rPr>
          <w:b w:val="0"/>
          <w:iCs/>
        </w:rPr>
        <w:t>energy</w:t>
      </w:r>
      <w:r w:rsidRPr="001B5EC7">
        <w:rPr>
          <w:iCs/>
        </w:rPr>
        <w:t xml:space="preserve"> </w:t>
      </w:r>
      <w:r w:rsidRPr="001B5EC7">
        <w:rPr>
          <w:b w:val="0"/>
          <w:iCs/>
        </w:rPr>
        <w:t>market</w:t>
      </w:r>
      <w:r w:rsidRPr="001B5EC7">
        <w:rPr>
          <w:iCs/>
        </w:rPr>
        <w:t xml:space="preserve"> </w:t>
      </w:r>
      <w:r w:rsidRPr="001B5EC7">
        <w:rPr>
          <w:b w:val="0"/>
          <w:iCs/>
        </w:rPr>
        <w:t>profile</w:t>
      </w:r>
      <w:r w:rsidRPr="001B5EC7">
        <w:rPr>
          <w:b w:val="0"/>
        </w:rPr>
        <w:t>.</w:t>
      </w:r>
    </w:p>
    <w:p w14:paraId="207D0B87" w14:textId="77777777" w:rsidR="00600DA3" w:rsidRDefault="00600DA3" w:rsidP="001B5EC7">
      <w:pPr>
        <w:pStyle w:val="BodyText"/>
        <w:spacing w:after="0"/>
        <w:ind w:left="1008" w:hanging="1008"/>
        <w:jc w:val="left"/>
        <w:rPr>
          <w:b w:val="0"/>
        </w:rPr>
      </w:pPr>
    </w:p>
    <w:p w14:paraId="5EB2049A" w14:textId="77777777" w:rsidR="005669AD" w:rsidRDefault="005669AD" w:rsidP="001B5EC7">
      <w:pPr>
        <w:pStyle w:val="BodyText"/>
        <w:spacing w:after="0"/>
        <w:ind w:left="1008" w:hanging="1008"/>
        <w:jc w:val="left"/>
        <w:rPr>
          <w:b w:val="0"/>
        </w:rPr>
      </w:pPr>
    </w:p>
    <w:p w14:paraId="31471E7C" w14:textId="4C15C9D6" w:rsidR="005669AD" w:rsidRDefault="005A400B" w:rsidP="00CE630B">
      <w:pPr>
        <w:spacing w:line="360" w:lineRule="auto"/>
        <w:jc w:val="left"/>
        <w:rPr>
          <w:b w:val="0"/>
          <w:szCs w:val="24"/>
        </w:rPr>
      </w:pPr>
      <w:r>
        <w:rPr>
          <w:b w:val="0"/>
          <w:szCs w:val="24"/>
        </w:rPr>
        <w:t>T</w:t>
      </w:r>
      <w:r w:rsidR="00C01C10" w:rsidRPr="00C01C10">
        <w:rPr>
          <w:b w:val="0"/>
          <w:szCs w:val="24"/>
        </w:rPr>
        <w:t xml:space="preserve">he appliance ownership shares used in the LoadMAP model </w:t>
      </w:r>
      <w:r w:rsidR="00B33083">
        <w:rPr>
          <w:b w:val="0"/>
          <w:szCs w:val="24"/>
        </w:rPr>
        <w:t>are</w:t>
      </w:r>
      <w:r w:rsidR="00C01C10" w:rsidRPr="00C01C10">
        <w:rPr>
          <w:b w:val="0"/>
          <w:szCs w:val="24"/>
        </w:rPr>
        <w:t xml:space="preserve"> calibrated to Georgia Power’s service territory and initialized to a base year of </w:t>
      </w:r>
      <w:r w:rsidR="00F63DA9" w:rsidRPr="00C01C10">
        <w:rPr>
          <w:b w:val="0"/>
          <w:szCs w:val="24"/>
        </w:rPr>
        <w:t>20</w:t>
      </w:r>
      <w:r w:rsidR="00F63DA9">
        <w:rPr>
          <w:b w:val="0"/>
          <w:szCs w:val="24"/>
        </w:rPr>
        <w:t>16</w:t>
      </w:r>
      <w:r w:rsidR="00C01C10" w:rsidRPr="00C01C10">
        <w:rPr>
          <w:b w:val="0"/>
          <w:szCs w:val="24"/>
        </w:rPr>
        <w:t>.</w:t>
      </w:r>
    </w:p>
    <w:p w14:paraId="7AECF79F" w14:textId="77777777" w:rsidR="00CE630B" w:rsidRDefault="00CE630B" w:rsidP="00CE630B">
      <w:pPr>
        <w:spacing w:line="360" w:lineRule="auto"/>
        <w:jc w:val="left"/>
        <w:rPr>
          <w:b w:val="0"/>
          <w:szCs w:val="24"/>
        </w:rPr>
      </w:pPr>
    </w:p>
    <w:p w14:paraId="012D09F0" w14:textId="78DF5D73" w:rsidR="005669AD" w:rsidRDefault="00C01C10" w:rsidP="00CE630B">
      <w:pPr>
        <w:spacing w:after="240" w:line="360" w:lineRule="auto"/>
        <w:jc w:val="left"/>
        <w:rPr>
          <w:b w:val="0"/>
          <w:szCs w:val="24"/>
        </w:rPr>
      </w:pPr>
      <w:r w:rsidRPr="00C01C10">
        <w:rPr>
          <w:b w:val="0"/>
          <w:szCs w:val="24"/>
        </w:rPr>
        <w:lastRenderedPageBreak/>
        <w:t xml:space="preserve">The residential energy model predicts energy consumption for </w:t>
      </w:r>
      <w:r w:rsidR="00D54B5F">
        <w:rPr>
          <w:b w:val="0"/>
          <w:szCs w:val="24"/>
        </w:rPr>
        <w:t>nine</w:t>
      </w:r>
      <w:r w:rsidR="002103FE">
        <w:rPr>
          <w:b w:val="0"/>
          <w:szCs w:val="24"/>
        </w:rPr>
        <w:t xml:space="preserve"> </w:t>
      </w:r>
      <w:r w:rsidRPr="00C01C10">
        <w:rPr>
          <w:b w:val="0"/>
          <w:szCs w:val="24"/>
        </w:rPr>
        <w:t>major household end-uses:</w:t>
      </w:r>
    </w:p>
    <w:tbl>
      <w:tblPr>
        <w:tblW w:w="7740" w:type="dxa"/>
        <w:tblInd w:w="450" w:type="dxa"/>
        <w:tblLayout w:type="fixed"/>
        <w:tblLook w:val="0000" w:firstRow="0" w:lastRow="0" w:firstColumn="0" w:lastColumn="0" w:noHBand="0" w:noVBand="0"/>
      </w:tblPr>
      <w:tblGrid>
        <w:gridCol w:w="3060"/>
        <w:gridCol w:w="4680"/>
      </w:tblGrid>
      <w:tr w:rsidR="00C01C10" w:rsidRPr="00C01C10" w14:paraId="60CECFB6" w14:textId="77777777" w:rsidTr="007A4D57">
        <w:trPr>
          <w:trHeight w:val="262"/>
        </w:trPr>
        <w:tc>
          <w:tcPr>
            <w:tcW w:w="3060" w:type="dxa"/>
          </w:tcPr>
          <w:p w14:paraId="115B26D5" w14:textId="566644EF" w:rsidR="00C01C10" w:rsidRPr="00847262" w:rsidRDefault="00616255" w:rsidP="00774360">
            <w:pPr>
              <w:spacing w:line="276" w:lineRule="auto"/>
              <w:jc w:val="left"/>
              <w:rPr>
                <w:b w:val="0"/>
                <w:bCs/>
              </w:rPr>
            </w:pPr>
            <w:r>
              <w:rPr>
                <w:b w:val="0"/>
                <w:bCs/>
              </w:rPr>
              <w:t xml:space="preserve"> </w:t>
            </w:r>
            <w:r w:rsidR="00C01C10" w:rsidRPr="00847262">
              <w:rPr>
                <w:b w:val="0"/>
                <w:bCs/>
              </w:rPr>
              <w:t>1.</w:t>
            </w:r>
            <w:r>
              <w:rPr>
                <w:b w:val="0"/>
                <w:bCs/>
              </w:rPr>
              <w:t xml:space="preserve"> </w:t>
            </w:r>
            <w:r w:rsidR="00C01C10" w:rsidRPr="00847262">
              <w:rPr>
                <w:b w:val="0"/>
                <w:bCs/>
              </w:rPr>
              <w:t>Cooling</w:t>
            </w:r>
          </w:p>
        </w:tc>
        <w:tc>
          <w:tcPr>
            <w:tcW w:w="4680" w:type="dxa"/>
          </w:tcPr>
          <w:p w14:paraId="70ED75D8" w14:textId="2C6F7B83" w:rsidR="00C01C10" w:rsidRPr="00847262" w:rsidRDefault="00F63DA9" w:rsidP="00774360">
            <w:pPr>
              <w:spacing w:line="276" w:lineRule="auto"/>
              <w:jc w:val="left"/>
              <w:rPr>
                <w:b w:val="0"/>
                <w:bCs/>
              </w:rPr>
            </w:pPr>
            <w:r w:rsidRPr="00847262">
              <w:rPr>
                <w:b w:val="0"/>
                <w:bCs/>
              </w:rPr>
              <w:t>6</w:t>
            </w:r>
            <w:r w:rsidR="00C01C10" w:rsidRPr="00847262">
              <w:rPr>
                <w:b w:val="0"/>
                <w:bCs/>
              </w:rPr>
              <w:t>.</w:t>
            </w:r>
            <w:r w:rsidR="00616255">
              <w:rPr>
                <w:b w:val="0"/>
                <w:bCs/>
              </w:rPr>
              <w:t xml:space="preserve"> </w:t>
            </w:r>
            <w:r w:rsidR="004775E0" w:rsidRPr="00847262">
              <w:rPr>
                <w:b w:val="0"/>
                <w:bCs/>
              </w:rPr>
              <w:t>Exterior Lighting</w:t>
            </w:r>
            <w:r w:rsidR="004775E0" w:rsidRPr="00847262" w:rsidDel="004775E0">
              <w:rPr>
                <w:b w:val="0"/>
                <w:bCs/>
              </w:rPr>
              <w:t xml:space="preserve"> </w:t>
            </w:r>
          </w:p>
        </w:tc>
      </w:tr>
      <w:tr w:rsidR="00C01C10" w:rsidRPr="00C01C10" w14:paraId="61C812B3" w14:textId="77777777" w:rsidTr="007A4D57">
        <w:trPr>
          <w:trHeight w:val="262"/>
        </w:trPr>
        <w:tc>
          <w:tcPr>
            <w:tcW w:w="3060" w:type="dxa"/>
          </w:tcPr>
          <w:p w14:paraId="790356D9" w14:textId="3CE4A242" w:rsidR="00C01C10" w:rsidRPr="00847262" w:rsidRDefault="00616255" w:rsidP="00774360">
            <w:pPr>
              <w:spacing w:line="276" w:lineRule="auto"/>
              <w:jc w:val="left"/>
              <w:rPr>
                <w:b w:val="0"/>
                <w:bCs/>
              </w:rPr>
            </w:pPr>
            <w:r>
              <w:rPr>
                <w:b w:val="0"/>
                <w:bCs/>
              </w:rPr>
              <w:t xml:space="preserve"> </w:t>
            </w:r>
            <w:r w:rsidR="00C01C10" w:rsidRPr="00847262">
              <w:rPr>
                <w:b w:val="0"/>
                <w:bCs/>
              </w:rPr>
              <w:t>2.</w:t>
            </w:r>
            <w:r>
              <w:rPr>
                <w:b w:val="0"/>
                <w:bCs/>
              </w:rPr>
              <w:t xml:space="preserve"> </w:t>
            </w:r>
            <w:r w:rsidR="00F63DA9" w:rsidRPr="00847262">
              <w:rPr>
                <w:b w:val="0"/>
                <w:bCs/>
              </w:rPr>
              <w:t xml:space="preserve">Space </w:t>
            </w:r>
            <w:r w:rsidR="00C01C10" w:rsidRPr="00847262">
              <w:rPr>
                <w:b w:val="0"/>
                <w:bCs/>
              </w:rPr>
              <w:t>Heating</w:t>
            </w:r>
          </w:p>
        </w:tc>
        <w:tc>
          <w:tcPr>
            <w:tcW w:w="4680" w:type="dxa"/>
          </w:tcPr>
          <w:p w14:paraId="1027CBF4" w14:textId="2A3182FD" w:rsidR="00C01C10" w:rsidRPr="00847262" w:rsidRDefault="00F63DA9" w:rsidP="00774360">
            <w:pPr>
              <w:spacing w:line="276" w:lineRule="auto"/>
              <w:jc w:val="left"/>
              <w:rPr>
                <w:b w:val="0"/>
                <w:bCs/>
              </w:rPr>
            </w:pPr>
            <w:r w:rsidRPr="00847262">
              <w:rPr>
                <w:b w:val="0"/>
                <w:bCs/>
              </w:rPr>
              <w:t>7</w:t>
            </w:r>
            <w:r w:rsidR="00C01C10" w:rsidRPr="00847262">
              <w:rPr>
                <w:b w:val="0"/>
                <w:bCs/>
              </w:rPr>
              <w:t>.</w:t>
            </w:r>
            <w:r w:rsidR="00616255">
              <w:rPr>
                <w:b w:val="0"/>
                <w:bCs/>
              </w:rPr>
              <w:t xml:space="preserve"> </w:t>
            </w:r>
            <w:r w:rsidRPr="00847262">
              <w:rPr>
                <w:b w:val="0"/>
                <w:bCs/>
              </w:rPr>
              <w:t>Electronics</w:t>
            </w:r>
          </w:p>
        </w:tc>
      </w:tr>
      <w:tr w:rsidR="00C01C10" w:rsidRPr="00C01C10" w14:paraId="293FE55D" w14:textId="77777777" w:rsidTr="007A4D57">
        <w:trPr>
          <w:trHeight w:val="262"/>
        </w:trPr>
        <w:tc>
          <w:tcPr>
            <w:tcW w:w="3060" w:type="dxa"/>
          </w:tcPr>
          <w:p w14:paraId="53824CAB" w14:textId="2D520F5E" w:rsidR="00C01C10" w:rsidRPr="00847262" w:rsidRDefault="00616255" w:rsidP="00774360">
            <w:pPr>
              <w:spacing w:line="276" w:lineRule="auto"/>
              <w:jc w:val="left"/>
              <w:rPr>
                <w:b w:val="0"/>
                <w:bCs/>
              </w:rPr>
            </w:pPr>
            <w:r>
              <w:rPr>
                <w:b w:val="0"/>
                <w:bCs/>
              </w:rPr>
              <w:t xml:space="preserve"> </w:t>
            </w:r>
            <w:r w:rsidR="00C01C10" w:rsidRPr="00847262">
              <w:rPr>
                <w:b w:val="0"/>
                <w:bCs/>
              </w:rPr>
              <w:t>3.</w:t>
            </w:r>
            <w:r>
              <w:rPr>
                <w:b w:val="0"/>
                <w:bCs/>
              </w:rPr>
              <w:t xml:space="preserve"> </w:t>
            </w:r>
            <w:r w:rsidR="00C01C10" w:rsidRPr="00847262">
              <w:rPr>
                <w:b w:val="0"/>
                <w:bCs/>
              </w:rPr>
              <w:t>Water Heating</w:t>
            </w:r>
          </w:p>
        </w:tc>
        <w:tc>
          <w:tcPr>
            <w:tcW w:w="4680" w:type="dxa"/>
          </w:tcPr>
          <w:p w14:paraId="48C42EB0" w14:textId="40246250" w:rsidR="00C01C10" w:rsidRPr="00847262" w:rsidRDefault="00F63DA9" w:rsidP="00774360">
            <w:pPr>
              <w:spacing w:line="276" w:lineRule="auto"/>
              <w:jc w:val="left"/>
              <w:rPr>
                <w:b w:val="0"/>
                <w:bCs/>
              </w:rPr>
            </w:pPr>
            <w:r w:rsidRPr="00847262">
              <w:rPr>
                <w:b w:val="0"/>
                <w:bCs/>
              </w:rPr>
              <w:t>8</w:t>
            </w:r>
            <w:r w:rsidR="00C01C10" w:rsidRPr="00847262">
              <w:rPr>
                <w:b w:val="0"/>
                <w:bCs/>
              </w:rPr>
              <w:t>.</w:t>
            </w:r>
            <w:r w:rsidR="00616255">
              <w:rPr>
                <w:b w:val="0"/>
                <w:bCs/>
              </w:rPr>
              <w:t xml:space="preserve"> </w:t>
            </w:r>
            <w:r w:rsidRPr="00847262">
              <w:rPr>
                <w:b w:val="0"/>
                <w:bCs/>
              </w:rPr>
              <w:t>Miscellaneous</w:t>
            </w:r>
          </w:p>
        </w:tc>
      </w:tr>
      <w:tr w:rsidR="00C01C10" w:rsidRPr="00C01C10" w14:paraId="4255D64D" w14:textId="77777777" w:rsidTr="007A4D57">
        <w:trPr>
          <w:trHeight w:val="243"/>
        </w:trPr>
        <w:tc>
          <w:tcPr>
            <w:tcW w:w="3060" w:type="dxa"/>
          </w:tcPr>
          <w:p w14:paraId="134EE8F2" w14:textId="7AC45580" w:rsidR="00C01C10" w:rsidRPr="00847262" w:rsidRDefault="00616255" w:rsidP="00774360">
            <w:pPr>
              <w:spacing w:line="276" w:lineRule="auto"/>
              <w:jc w:val="left"/>
              <w:rPr>
                <w:b w:val="0"/>
                <w:bCs/>
              </w:rPr>
            </w:pPr>
            <w:r>
              <w:rPr>
                <w:b w:val="0"/>
                <w:bCs/>
              </w:rPr>
              <w:t xml:space="preserve"> </w:t>
            </w:r>
            <w:r w:rsidR="00C01C10" w:rsidRPr="00847262">
              <w:rPr>
                <w:b w:val="0"/>
                <w:bCs/>
              </w:rPr>
              <w:t>4.</w:t>
            </w:r>
            <w:r>
              <w:rPr>
                <w:b w:val="0"/>
                <w:bCs/>
              </w:rPr>
              <w:t xml:space="preserve"> </w:t>
            </w:r>
            <w:r w:rsidR="004775E0" w:rsidRPr="00847262">
              <w:rPr>
                <w:b w:val="0"/>
                <w:bCs/>
              </w:rPr>
              <w:t xml:space="preserve">Appliances </w:t>
            </w:r>
          </w:p>
        </w:tc>
        <w:tc>
          <w:tcPr>
            <w:tcW w:w="4680" w:type="dxa"/>
          </w:tcPr>
          <w:p w14:paraId="554B3C51" w14:textId="591100B7" w:rsidR="00C01C10" w:rsidRPr="00847262" w:rsidRDefault="00F63DA9" w:rsidP="00774360">
            <w:pPr>
              <w:spacing w:line="276" w:lineRule="auto"/>
              <w:jc w:val="left"/>
              <w:rPr>
                <w:b w:val="0"/>
                <w:bCs/>
              </w:rPr>
            </w:pPr>
            <w:r w:rsidRPr="00847262">
              <w:rPr>
                <w:b w:val="0"/>
                <w:bCs/>
              </w:rPr>
              <w:t>9</w:t>
            </w:r>
            <w:r w:rsidR="00C01C10" w:rsidRPr="00847262">
              <w:rPr>
                <w:b w:val="0"/>
                <w:bCs/>
              </w:rPr>
              <w:t>.</w:t>
            </w:r>
            <w:r w:rsidR="00616255">
              <w:rPr>
                <w:b w:val="0"/>
                <w:bCs/>
              </w:rPr>
              <w:t xml:space="preserve"> </w:t>
            </w:r>
            <w:r w:rsidRPr="00847262">
              <w:rPr>
                <w:b w:val="0"/>
                <w:bCs/>
              </w:rPr>
              <w:t>Miscellaneous NEC</w:t>
            </w:r>
            <w:r w:rsidR="00847262" w:rsidRPr="00847262">
              <w:rPr>
                <w:b w:val="0"/>
                <w:bCs/>
              </w:rPr>
              <w:t xml:space="preserve"> (Not Els</w:t>
            </w:r>
            <w:r w:rsidR="00E770D0">
              <w:rPr>
                <w:b w:val="0"/>
                <w:bCs/>
              </w:rPr>
              <w:t>e</w:t>
            </w:r>
            <w:r w:rsidR="00847262" w:rsidRPr="00847262">
              <w:rPr>
                <w:b w:val="0"/>
                <w:bCs/>
              </w:rPr>
              <w:t>where Classified</w:t>
            </w:r>
            <w:r w:rsidR="00A16F7F">
              <w:rPr>
                <w:b w:val="0"/>
                <w:bCs/>
              </w:rPr>
              <w:t>)</w:t>
            </w:r>
          </w:p>
        </w:tc>
      </w:tr>
      <w:tr w:rsidR="00C01C10" w:rsidRPr="00C01C10" w14:paraId="7801CD48" w14:textId="77777777" w:rsidTr="007A4D57">
        <w:trPr>
          <w:trHeight w:val="262"/>
        </w:trPr>
        <w:tc>
          <w:tcPr>
            <w:tcW w:w="3060" w:type="dxa"/>
          </w:tcPr>
          <w:p w14:paraId="720B30DF" w14:textId="711DEAF0" w:rsidR="00C01C10" w:rsidRPr="00847262" w:rsidRDefault="00616255" w:rsidP="00774360">
            <w:pPr>
              <w:spacing w:line="276" w:lineRule="auto"/>
              <w:jc w:val="left"/>
              <w:rPr>
                <w:b w:val="0"/>
                <w:bCs/>
              </w:rPr>
            </w:pPr>
            <w:r>
              <w:rPr>
                <w:b w:val="0"/>
                <w:bCs/>
              </w:rPr>
              <w:t xml:space="preserve"> </w:t>
            </w:r>
            <w:r w:rsidR="00C01C10" w:rsidRPr="00847262">
              <w:rPr>
                <w:b w:val="0"/>
                <w:bCs/>
              </w:rPr>
              <w:t>5.</w:t>
            </w:r>
            <w:r>
              <w:rPr>
                <w:b w:val="0"/>
                <w:bCs/>
              </w:rPr>
              <w:t xml:space="preserve"> </w:t>
            </w:r>
            <w:r w:rsidR="004775E0" w:rsidRPr="00847262">
              <w:rPr>
                <w:b w:val="0"/>
                <w:bCs/>
              </w:rPr>
              <w:t>Interior</w:t>
            </w:r>
            <w:r w:rsidR="00C01C10" w:rsidRPr="00847262">
              <w:rPr>
                <w:b w:val="0"/>
                <w:bCs/>
              </w:rPr>
              <w:t xml:space="preserve"> Lighting</w:t>
            </w:r>
            <w:r w:rsidR="004775E0" w:rsidRPr="00847262" w:rsidDel="004775E0">
              <w:rPr>
                <w:b w:val="0"/>
                <w:bCs/>
              </w:rPr>
              <w:t xml:space="preserve"> </w:t>
            </w:r>
          </w:p>
        </w:tc>
        <w:tc>
          <w:tcPr>
            <w:tcW w:w="4680" w:type="dxa"/>
          </w:tcPr>
          <w:p w14:paraId="325EC03E" w14:textId="12A444E2" w:rsidR="00C01C10" w:rsidRPr="00847262" w:rsidRDefault="00C01C10" w:rsidP="00774360">
            <w:pPr>
              <w:spacing w:line="276" w:lineRule="auto"/>
              <w:jc w:val="left"/>
              <w:rPr>
                <w:b w:val="0"/>
                <w:bCs/>
              </w:rPr>
            </w:pPr>
          </w:p>
        </w:tc>
      </w:tr>
      <w:tr w:rsidR="00C01C10" w:rsidRPr="00C01C10" w14:paraId="457B9AC8" w14:textId="77777777" w:rsidTr="007A4D57">
        <w:trPr>
          <w:trHeight w:val="262"/>
        </w:trPr>
        <w:tc>
          <w:tcPr>
            <w:tcW w:w="3060" w:type="dxa"/>
          </w:tcPr>
          <w:p w14:paraId="782D3D49" w14:textId="572FF1A6" w:rsidR="00C01C10" w:rsidRPr="00BC7C3C" w:rsidRDefault="00C01C10" w:rsidP="00774360">
            <w:pPr>
              <w:spacing w:line="276" w:lineRule="auto"/>
              <w:jc w:val="left"/>
            </w:pPr>
          </w:p>
        </w:tc>
        <w:tc>
          <w:tcPr>
            <w:tcW w:w="4680" w:type="dxa"/>
          </w:tcPr>
          <w:p w14:paraId="7A951CB7" w14:textId="4DB63CFD" w:rsidR="00C01C10" w:rsidRPr="00BC7C3C" w:rsidRDefault="00C01C10" w:rsidP="00774360">
            <w:pPr>
              <w:spacing w:line="276" w:lineRule="auto"/>
              <w:jc w:val="left"/>
            </w:pPr>
          </w:p>
        </w:tc>
      </w:tr>
    </w:tbl>
    <w:p w14:paraId="59B33E86" w14:textId="2FE18CD8" w:rsidR="00CE630B" w:rsidRDefault="00847262" w:rsidP="000E5B5C">
      <w:pPr>
        <w:spacing w:line="360" w:lineRule="auto"/>
        <w:jc w:val="both"/>
        <w:rPr>
          <w:b w:val="0"/>
          <w:szCs w:val="24"/>
        </w:rPr>
      </w:pPr>
      <w:r w:rsidRPr="00847262">
        <w:rPr>
          <w:b w:val="0"/>
          <w:bCs/>
          <w:szCs w:val="24"/>
        </w:rPr>
        <w:t xml:space="preserve">The model is segmented by housing type (single-family, multi-family, and manufactured housing), and its logic distinguishes between new and existing housing characteristics. Each customer group is described by the combinations of these attributes. As an example, new single-family housing demonstrates characteristic choice behaviors in the selection of the technologies (appliances) and fuel types available to the market. This choice behavior or demonstrated preference for a particular fuel choice technology in a given end-use category is measured by the </w:t>
      </w:r>
      <w:r w:rsidR="00BE1C8D">
        <w:rPr>
          <w:b w:val="0"/>
          <w:bCs/>
          <w:szCs w:val="24"/>
        </w:rPr>
        <w:t>2022</w:t>
      </w:r>
      <w:r w:rsidR="00BE1C8D" w:rsidRPr="00847262">
        <w:rPr>
          <w:b w:val="0"/>
          <w:bCs/>
          <w:szCs w:val="24"/>
        </w:rPr>
        <w:t xml:space="preserve"> </w:t>
      </w:r>
      <w:r w:rsidRPr="00847262">
        <w:rPr>
          <w:b w:val="0"/>
          <w:bCs/>
          <w:szCs w:val="24"/>
        </w:rPr>
        <w:t xml:space="preserve">Georgia Power Residential Saturation Survey and the South Atlantic regional results from </w:t>
      </w:r>
      <w:r w:rsidR="00CC3817">
        <w:rPr>
          <w:b w:val="0"/>
          <w:bCs/>
          <w:szCs w:val="24"/>
        </w:rPr>
        <w:t xml:space="preserve">the </w:t>
      </w:r>
      <w:r w:rsidR="002E65F4">
        <w:rPr>
          <w:b w:val="0"/>
          <w:bCs/>
        </w:rPr>
        <w:t>U</w:t>
      </w:r>
      <w:r w:rsidR="00553493">
        <w:rPr>
          <w:b w:val="0"/>
          <w:bCs/>
        </w:rPr>
        <w:t>.</w:t>
      </w:r>
      <w:r w:rsidR="002E65F4">
        <w:rPr>
          <w:b w:val="0"/>
          <w:bCs/>
        </w:rPr>
        <w:t>S</w:t>
      </w:r>
      <w:r w:rsidR="00553493">
        <w:rPr>
          <w:b w:val="0"/>
          <w:bCs/>
        </w:rPr>
        <w:t>.</w:t>
      </w:r>
      <w:r w:rsidR="00CC3817" w:rsidRPr="00847262">
        <w:rPr>
          <w:b w:val="0"/>
          <w:bCs/>
        </w:rPr>
        <w:t xml:space="preserve"> Energy Information Administration</w:t>
      </w:r>
      <w:r w:rsidR="00CC3817">
        <w:rPr>
          <w:b w:val="0"/>
          <w:bCs/>
        </w:rPr>
        <w:t>’s (“EIA”)</w:t>
      </w:r>
      <w:r w:rsidR="00CC3817" w:rsidRPr="00847262">
        <w:rPr>
          <w:b w:val="0"/>
          <w:bCs/>
        </w:rPr>
        <w:t xml:space="preserve"> </w:t>
      </w:r>
      <w:r w:rsidRPr="00847262">
        <w:rPr>
          <w:b w:val="0"/>
          <w:bCs/>
          <w:szCs w:val="24"/>
        </w:rPr>
        <w:t>Residential Energy Consumption Survey (</w:t>
      </w:r>
      <w:r w:rsidR="00E5385E">
        <w:rPr>
          <w:b w:val="0"/>
          <w:bCs/>
          <w:szCs w:val="24"/>
        </w:rPr>
        <w:t>“</w:t>
      </w:r>
      <w:r w:rsidRPr="00847262">
        <w:rPr>
          <w:b w:val="0"/>
          <w:bCs/>
          <w:szCs w:val="24"/>
        </w:rPr>
        <w:t>RECS</w:t>
      </w:r>
      <w:r w:rsidR="00E5385E">
        <w:rPr>
          <w:b w:val="0"/>
          <w:bCs/>
          <w:szCs w:val="24"/>
        </w:rPr>
        <w:t>”</w:t>
      </w:r>
      <w:r w:rsidRPr="00847262">
        <w:rPr>
          <w:b w:val="0"/>
          <w:bCs/>
          <w:szCs w:val="24"/>
        </w:rPr>
        <w:t xml:space="preserve">) and </w:t>
      </w:r>
      <w:r w:rsidR="000F336E">
        <w:rPr>
          <w:b w:val="0"/>
          <w:bCs/>
          <w:szCs w:val="24"/>
        </w:rPr>
        <w:t xml:space="preserve">the most recent </w:t>
      </w:r>
      <w:r w:rsidRPr="00847262">
        <w:rPr>
          <w:b w:val="0"/>
          <w:bCs/>
          <w:szCs w:val="24"/>
        </w:rPr>
        <w:t>Annual Energy Outlook (</w:t>
      </w:r>
      <w:r w:rsidR="00E5385E">
        <w:rPr>
          <w:b w:val="0"/>
          <w:bCs/>
          <w:szCs w:val="24"/>
        </w:rPr>
        <w:t>“</w:t>
      </w:r>
      <w:r w:rsidRPr="00847262">
        <w:rPr>
          <w:b w:val="0"/>
          <w:bCs/>
          <w:szCs w:val="24"/>
        </w:rPr>
        <w:t>AEO</w:t>
      </w:r>
      <w:r w:rsidR="00E5385E">
        <w:rPr>
          <w:b w:val="0"/>
          <w:bCs/>
          <w:szCs w:val="24"/>
        </w:rPr>
        <w:t>”</w:t>
      </w:r>
      <w:r w:rsidRPr="00847262">
        <w:rPr>
          <w:b w:val="0"/>
          <w:bCs/>
          <w:szCs w:val="24"/>
        </w:rPr>
        <w:t>).</w:t>
      </w:r>
    </w:p>
    <w:p w14:paraId="13A0AE6B" w14:textId="729D2773" w:rsidR="00847262" w:rsidRPr="00847262" w:rsidRDefault="00847262" w:rsidP="005669AD">
      <w:pPr>
        <w:spacing w:before="240" w:line="360" w:lineRule="auto"/>
        <w:jc w:val="both"/>
        <w:rPr>
          <w:b w:val="0"/>
          <w:bCs/>
          <w:szCs w:val="24"/>
        </w:rPr>
      </w:pPr>
      <w:r w:rsidRPr="00847262">
        <w:rPr>
          <w:b w:val="0"/>
          <w:bCs/>
          <w:szCs w:val="24"/>
        </w:rPr>
        <w:t>For each of the end uses, LoadMAP forecasts equipment purchases, efficiency, and utilization choices.</w:t>
      </w:r>
      <w:r w:rsidR="00616255">
        <w:rPr>
          <w:b w:val="0"/>
          <w:bCs/>
          <w:szCs w:val="24"/>
        </w:rPr>
        <w:t xml:space="preserve"> </w:t>
      </w:r>
      <w:r w:rsidRPr="00847262">
        <w:rPr>
          <w:b w:val="0"/>
          <w:bCs/>
          <w:szCs w:val="24"/>
        </w:rPr>
        <w:t>Within the simulation, the probability of installing a given technology in a dwelling is dependent upon the operating and performance characteristics of the competing alternatives, as well as household and dwelling features. Certain end</w:t>
      </w:r>
      <w:r w:rsidR="007B5573">
        <w:rPr>
          <w:b w:val="0"/>
          <w:bCs/>
          <w:szCs w:val="24"/>
        </w:rPr>
        <w:t xml:space="preserve"> </w:t>
      </w:r>
      <w:r w:rsidRPr="00847262">
        <w:rPr>
          <w:b w:val="0"/>
          <w:bCs/>
          <w:szCs w:val="24"/>
        </w:rPr>
        <w:t>uses are highly interdependent, such as heating and water heating, which typically use the same fuel type.</w:t>
      </w:r>
      <w:r w:rsidR="00616255">
        <w:rPr>
          <w:b w:val="0"/>
          <w:bCs/>
          <w:szCs w:val="24"/>
        </w:rPr>
        <w:t xml:space="preserve"> </w:t>
      </w:r>
    </w:p>
    <w:p w14:paraId="164FEE4E" w14:textId="77777777" w:rsidR="00847262" w:rsidRPr="00847262" w:rsidRDefault="00847262" w:rsidP="0087192A">
      <w:pPr>
        <w:spacing w:line="360" w:lineRule="auto"/>
        <w:rPr>
          <w:b w:val="0"/>
          <w:bCs/>
          <w:szCs w:val="24"/>
        </w:rPr>
      </w:pPr>
    </w:p>
    <w:p w14:paraId="1375D8FE" w14:textId="365D09AB" w:rsidR="00847262" w:rsidRDefault="00847262" w:rsidP="00C45A5E">
      <w:pPr>
        <w:spacing w:line="360" w:lineRule="auto"/>
        <w:jc w:val="both"/>
        <w:rPr>
          <w:b w:val="0"/>
          <w:bCs/>
        </w:rPr>
      </w:pPr>
      <w:r w:rsidRPr="00847262">
        <w:rPr>
          <w:b w:val="0"/>
          <w:bCs/>
        </w:rPr>
        <w:t>Average annual end-use consumption levels</w:t>
      </w:r>
      <w:r w:rsidR="00B63899">
        <w:rPr>
          <w:b w:val="0"/>
          <w:bCs/>
        </w:rPr>
        <w:t>,</w:t>
      </w:r>
      <w:r w:rsidRPr="00847262">
        <w:rPr>
          <w:b w:val="0"/>
          <w:bCs/>
        </w:rPr>
        <w:t xml:space="preserve"> referred to as unit energy consumption </w:t>
      </w:r>
      <w:r w:rsidR="00B63899">
        <w:rPr>
          <w:b w:val="0"/>
          <w:bCs/>
        </w:rPr>
        <w:t>(“</w:t>
      </w:r>
      <w:r w:rsidRPr="00847262">
        <w:rPr>
          <w:b w:val="0"/>
          <w:bCs/>
        </w:rPr>
        <w:t>UEC</w:t>
      </w:r>
      <w:r w:rsidR="00B63899">
        <w:rPr>
          <w:b w:val="0"/>
          <w:bCs/>
        </w:rPr>
        <w:t>”</w:t>
      </w:r>
      <w:r w:rsidRPr="00847262">
        <w:rPr>
          <w:b w:val="0"/>
          <w:bCs/>
        </w:rPr>
        <w:t>)</w:t>
      </w:r>
      <w:r w:rsidR="0065687E">
        <w:rPr>
          <w:b w:val="0"/>
          <w:bCs/>
        </w:rPr>
        <w:t>,</w:t>
      </w:r>
      <w:r w:rsidRPr="00847262">
        <w:rPr>
          <w:b w:val="0"/>
          <w:bCs/>
        </w:rPr>
        <w:t xml:space="preserve"> are from various internally developed and national and regional sources including </w:t>
      </w:r>
      <w:r w:rsidR="00DA7031">
        <w:rPr>
          <w:b w:val="0"/>
          <w:bCs/>
        </w:rPr>
        <w:t xml:space="preserve">the </w:t>
      </w:r>
      <w:r w:rsidR="002F78F8">
        <w:rPr>
          <w:b w:val="0"/>
          <w:bCs/>
        </w:rPr>
        <w:t>AEO</w:t>
      </w:r>
      <w:r w:rsidRPr="00847262">
        <w:rPr>
          <w:b w:val="0"/>
          <w:bCs/>
        </w:rPr>
        <w:t xml:space="preserve"> (</w:t>
      </w:r>
      <w:r w:rsidR="00931E7C" w:rsidRPr="00847262">
        <w:rPr>
          <w:b w:val="0"/>
          <w:bCs/>
        </w:rPr>
        <w:t>20</w:t>
      </w:r>
      <w:r w:rsidR="00931E7C">
        <w:rPr>
          <w:b w:val="0"/>
          <w:bCs/>
        </w:rPr>
        <w:t>23</w:t>
      </w:r>
      <w:r w:rsidRPr="00847262">
        <w:rPr>
          <w:b w:val="0"/>
          <w:bCs/>
        </w:rPr>
        <w:t xml:space="preserve">) from the EIA and the </w:t>
      </w:r>
      <w:r w:rsidR="002E65F4">
        <w:rPr>
          <w:b w:val="0"/>
          <w:bCs/>
        </w:rPr>
        <w:t>U</w:t>
      </w:r>
      <w:r w:rsidR="00553493">
        <w:rPr>
          <w:b w:val="0"/>
          <w:bCs/>
        </w:rPr>
        <w:t>.</w:t>
      </w:r>
      <w:r w:rsidR="002E65F4">
        <w:rPr>
          <w:b w:val="0"/>
          <w:bCs/>
        </w:rPr>
        <w:t>S</w:t>
      </w:r>
      <w:r w:rsidR="00553493">
        <w:rPr>
          <w:b w:val="0"/>
          <w:bCs/>
        </w:rPr>
        <w:t>.</w:t>
      </w:r>
      <w:r w:rsidR="00EC5969">
        <w:rPr>
          <w:b w:val="0"/>
          <w:bCs/>
        </w:rPr>
        <w:t xml:space="preserve"> </w:t>
      </w:r>
      <w:r w:rsidRPr="00847262">
        <w:rPr>
          <w:b w:val="0"/>
          <w:bCs/>
        </w:rPr>
        <w:t>Department of Energy’s (</w:t>
      </w:r>
      <w:r w:rsidR="00EC5969">
        <w:rPr>
          <w:b w:val="0"/>
          <w:bCs/>
        </w:rPr>
        <w:t>“</w:t>
      </w:r>
      <w:r w:rsidRPr="00847262">
        <w:rPr>
          <w:b w:val="0"/>
          <w:bCs/>
        </w:rPr>
        <w:t>DOE</w:t>
      </w:r>
      <w:r w:rsidR="00EC5969">
        <w:rPr>
          <w:b w:val="0"/>
          <w:bCs/>
        </w:rPr>
        <w:t>”</w:t>
      </w:r>
      <w:r w:rsidRPr="00847262">
        <w:rPr>
          <w:b w:val="0"/>
          <w:bCs/>
        </w:rPr>
        <w:t xml:space="preserve">) OpenStudio/Energy Plus building simulation </w:t>
      </w:r>
      <w:r w:rsidR="005C0DCE" w:rsidRPr="001D5615">
        <w:rPr>
          <w:b w:val="0"/>
        </w:rPr>
        <w:t>program</w:t>
      </w:r>
      <w:r w:rsidR="00D66393">
        <w:rPr>
          <w:b w:val="0"/>
        </w:rPr>
        <w:t xml:space="preserve">, which is used </w:t>
      </w:r>
      <w:r w:rsidR="005C0DCE" w:rsidRPr="001D5615">
        <w:rPr>
          <w:b w:val="0"/>
        </w:rPr>
        <w:t xml:space="preserve">to simulate weather responsive </w:t>
      </w:r>
      <w:r w:rsidR="005C0DCE" w:rsidRPr="006E13F2">
        <w:rPr>
          <w:b w:val="0"/>
        </w:rPr>
        <w:t>energy consumption</w:t>
      </w:r>
      <w:r w:rsidR="00C31303">
        <w:rPr>
          <w:b w:val="0"/>
        </w:rPr>
        <w:t>.</w:t>
      </w:r>
      <w:r w:rsidR="006E13F2">
        <w:rPr>
          <w:b w:val="0"/>
        </w:rPr>
        <w:t xml:space="preserve"> </w:t>
      </w:r>
      <w:r w:rsidR="006E13F2" w:rsidRPr="001D5615">
        <w:rPr>
          <w:b w:val="0"/>
        </w:rPr>
        <w:t xml:space="preserve">Internally developed building models based on either existing or new construction were used in </w:t>
      </w:r>
      <w:r w:rsidR="00DF725E">
        <w:rPr>
          <w:b w:val="0"/>
        </w:rPr>
        <w:t xml:space="preserve">the </w:t>
      </w:r>
      <w:r w:rsidR="006E13F2" w:rsidRPr="001D5615">
        <w:rPr>
          <w:b w:val="0"/>
        </w:rPr>
        <w:t>OpenStudio/Energy Plus program</w:t>
      </w:r>
      <w:r w:rsidR="006E13F2" w:rsidRPr="006E13F2">
        <w:rPr>
          <w:bCs/>
        </w:rPr>
        <w:t xml:space="preserve"> </w:t>
      </w:r>
      <w:r w:rsidRPr="00847262">
        <w:rPr>
          <w:b w:val="0"/>
          <w:bCs/>
        </w:rPr>
        <w:t xml:space="preserve">for use in Forecasting and DSM program study. UECs are calibrated to Georgia Power base year energy consumption. Average appliance size and efficiency by appliance vintage are derived from the </w:t>
      </w:r>
      <w:r w:rsidR="006666FC">
        <w:rPr>
          <w:b w:val="0"/>
          <w:bCs/>
        </w:rPr>
        <w:t>2022</w:t>
      </w:r>
      <w:r w:rsidR="006666FC" w:rsidRPr="00847262">
        <w:rPr>
          <w:b w:val="0"/>
          <w:bCs/>
        </w:rPr>
        <w:t xml:space="preserve"> </w:t>
      </w:r>
      <w:r w:rsidRPr="00847262">
        <w:rPr>
          <w:b w:val="0"/>
          <w:bCs/>
        </w:rPr>
        <w:t xml:space="preserve">Georgia Power </w:t>
      </w:r>
      <w:r w:rsidR="001127E9">
        <w:rPr>
          <w:b w:val="0"/>
          <w:bCs/>
        </w:rPr>
        <w:t>Residential Appliance Saturation S</w:t>
      </w:r>
      <w:r w:rsidRPr="00847262">
        <w:rPr>
          <w:b w:val="0"/>
          <w:bCs/>
        </w:rPr>
        <w:t xml:space="preserve">urvey and </w:t>
      </w:r>
      <w:r w:rsidR="004D28A5">
        <w:rPr>
          <w:b w:val="0"/>
          <w:bCs/>
        </w:rPr>
        <w:t xml:space="preserve">from </w:t>
      </w:r>
      <w:r w:rsidR="001F580D">
        <w:rPr>
          <w:b w:val="0"/>
          <w:bCs/>
        </w:rPr>
        <w:t xml:space="preserve">the latest </w:t>
      </w:r>
      <w:r w:rsidRPr="00847262">
        <w:rPr>
          <w:b w:val="0"/>
          <w:bCs/>
        </w:rPr>
        <w:t xml:space="preserve">EIA RECS and AEO. </w:t>
      </w:r>
      <w:r w:rsidR="00A06E8F">
        <w:rPr>
          <w:b w:val="0"/>
          <w:bCs/>
        </w:rPr>
        <w:t xml:space="preserve">The newest building simulations </w:t>
      </w:r>
      <w:r w:rsidR="00E72FB1">
        <w:rPr>
          <w:b w:val="0"/>
          <w:bCs/>
        </w:rPr>
        <w:t xml:space="preserve">were used to </w:t>
      </w:r>
      <w:r w:rsidR="00AF32E4">
        <w:rPr>
          <w:b w:val="0"/>
          <w:bCs/>
        </w:rPr>
        <w:t>update the s</w:t>
      </w:r>
      <w:r w:rsidR="00B26858">
        <w:rPr>
          <w:b w:val="0"/>
          <w:bCs/>
        </w:rPr>
        <w:t xml:space="preserve">tarting </w:t>
      </w:r>
      <w:r w:rsidR="00D72956">
        <w:rPr>
          <w:b w:val="0"/>
          <w:bCs/>
        </w:rPr>
        <w:t xml:space="preserve">annual energy consumption values </w:t>
      </w:r>
      <w:r w:rsidR="00B618E6">
        <w:rPr>
          <w:b w:val="0"/>
          <w:bCs/>
        </w:rPr>
        <w:t xml:space="preserve">for weather sensitive </w:t>
      </w:r>
      <w:r w:rsidR="00046242">
        <w:rPr>
          <w:b w:val="0"/>
          <w:bCs/>
        </w:rPr>
        <w:t xml:space="preserve">technologies </w:t>
      </w:r>
      <w:r w:rsidR="00B26858">
        <w:rPr>
          <w:b w:val="0"/>
          <w:bCs/>
        </w:rPr>
        <w:t>values</w:t>
      </w:r>
      <w:r w:rsidR="005A6D20">
        <w:rPr>
          <w:b w:val="0"/>
          <w:bCs/>
        </w:rPr>
        <w:t>.</w:t>
      </w:r>
      <w:r w:rsidR="00F30C19">
        <w:rPr>
          <w:b w:val="0"/>
          <w:bCs/>
        </w:rPr>
        <w:t xml:space="preserve"> </w:t>
      </w:r>
      <w:r w:rsidR="00EF668C">
        <w:rPr>
          <w:b w:val="0"/>
          <w:bCs/>
        </w:rPr>
        <w:t>Other</w:t>
      </w:r>
      <w:r w:rsidR="0086554B">
        <w:rPr>
          <w:b w:val="0"/>
          <w:bCs/>
        </w:rPr>
        <w:t xml:space="preserve"> </w:t>
      </w:r>
      <w:r w:rsidR="004832C9">
        <w:rPr>
          <w:b w:val="0"/>
          <w:bCs/>
        </w:rPr>
        <w:t xml:space="preserve">technologies </w:t>
      </w:r>
      <w:r w:rsidR="002F160C">
        <w:rPr>
          <w:b w:val="0"/>
          <w:bCs/>
        </w:rPr>
        <w:t xml:space="preserve">also had </w:t>
      </w:r>
      <w:r w:rsidR="004672B1">
        <w:rPr>
          <w:b w:val="0"/>
          <w:bCs/>
        </w:rPr>
        <w:t xml:space="preserve">annual consumption values updated </w:t>
      </w:r>
      <w:r w:rsidR="00DB78BD">
        <w:rPr>
          <w:b w:val="0"/>
          <w:bCs/>
        </w:rPr>
        <w:t>using data</w:t>
      </w:r>
      <w:r w:rsidR="005D4500">
        <w:rPr>
          <w:b w:val="0"/>
          <w:bCs/>
        </w:rPr>
        <w:t xml:space="preserve"> </w:t>
      </w:r>
      <w:r w:rsidR="005748C4">
        <w:rPr>
          <w:b w:val="0"/>
          <w:bCs/>
        </w:rPr>
        <w:t>from the EIA</w:t>
      </w:r>
      <w:r w:rsidR="00ED618B">
        <w:rPr>
          <w:b w:val="0"/>
          <w:bCs/>
        </w:rPr>
        <w:t xml:space="preserve">, AEO, </w:t>
      </w:r>
      <w:r w:rsidR="005748C4">
        <w:rPr>
          <w:b w:val="0"/>
          <w:bCs/>
        </w:rPr>
        <w:t xml:space="preserve">and </w:t>
      </w:r>
      <w:r w:rsidR="00121FB7">
        <w:rPr>
          <w:b w:val="0"/>
          <w:bCs/>
        </w:rPr>
        <w:t xml:space="preserve">from AEG </w:t>
      </w:r>
      <w:r w:rsidR="00CB608A">
        <w:rPr>
          <w:b w:val="0"/>
          <w:bCs/>
        </w:rPr>
        <w:t xml:space="preserve">and </w:t>
      </w:r>
      <w:r w:rsidR="00B216DD">
        <w:rPr>
          <w:b w:val="0"/>
          <w:bCs/>
        </w:rPr>
        <w:t>its</w:t>
      </w:r>
      <w:r w:rsidR="00CB608A">
        <w:rPr>
          <w:b w:val="0"/>
          <w:bCs/>
        </w:rPr>
        <w:t xml:space="preserve"> data sources</w:t>
      </w:r>
      <w:r w:rsidR="001C65FC">
        <w:rPr>
          <w:b w:val="0"/>
          <w:bCs/>
        </w:rPr>
        <w:t>.</w:t>
      </w:r>
      <w:r w:rsidR="00D14CD0">
        <w:rPr>
          <w:b w:val="0"/>
          <w:bCs/>
        </w:rPr>
        <w:t xml:space="preserve"> </w:t>
      </w:r>
      <w:r w:rsidRPr="00847262">
        <w:rPr>
          <w:b w:val="0"/>
          <w:bCs/>
        </w:rPr>
        <w:t xml:space="preserve">The same sources are used to estimate and represent the gas market. Efficiency data are from several sources </w:t>
      </w:r>
      <w:r w:rsidR="004F6404">
        <w:rPr>
          <w:b w:val="0"/>
          <w:bCs/>
        </w:rPr>
        <w:t xml:space="preserve">including </w:t>
      </w:r>
      <w:r w:rsidRPr="00847262">
        <w:rPr>
          <w:b w:val="0"/>
          <w:bCs/>
        </w:rPr>
        <w:t xml:space="preserve">AEG, RECS data, and other national and regional data. Additionally, LoadMAP data leverages AEG’s expertise providing the latest intelligence </w:t>
      </w:r>
      <w:r w:rsidR="00231BA2">
        <w:rPr>
          <w:b w:val="0"/>
          <w:bCs/>
        </w:rPr>
        <w:t>o</w:t>
      </w:r>
      <w:r w:rsidRPr="00847262">
        <w:rPr>
          <w:b w:val="0"/>
          <w:bCs/>
        </w:rPr>
        <w:t>n efficiencies and technologies.</w:t>
      </w:r>
    </w:p>
    <w:p w14:paraId="2F4EC835" w14:textId="77777777" w:rsidR="00933036" w:rsidRDefault="00933036" w:rsidP="00C45A5E">
      <w:pPr>
        <w:spacing w:line="360" w:lineRule="auto"/>
        <w:jc w:val="both"/>
        <w:rPr>
          <w:b w:val="0"/>
          <w:bCs/>
        </w:rPr>
      </w:pPr>
    </w:p>
    <w:p w14:paraId="74549463" w14:textId="2140392C" w:rsidR="00847262" w:rsidRDefault="00847262" w:rsidP="00CB75AB">
      <w:pPr>
        <w:spacing w:after="240" w:line="360" w:lineRule="auto"/>
        <w:jc w:val="both"/>
        <w:rPr>
          <w:b w:val="0"/>
          <w:bCs/>
          <w:szCs w:val="24"/>
        </w:rPr>
      </w:pPr>
      <w:r w:rsidRPr="00847262">
        <w:rPr>
          <w:b w:val="0"/>
          <w:bCs/>
          <w:szCs w:val="24"/>
        </w:rPr>
        <w:lastRenderedPageBreak/>
        <w:t>Appliance operating efficiency and utilization rates are simulated as interdependent decisions. Efficiency choice is dependent on operating cost at the planned utilization rate, while actual utilization depends on operating cost given the appliance efficiency. The sensitivity of efficiency and utilization decisions to costs, climate, household and dwelling size</w:t>
      </w:r>
      <w:r w:rsidR="006C654F">
        <w:rPr>
          <w:b w:val="0"/>
          <w:bCs/>
          <w:szCs w:val="24"/>
        </w:rPr>
        <w:t>,</w:t>
      </w:r>
      <w:r w:rsidRPr="00847262">
        <w:rPr>
          <w:b w:val="0"/>
          <w:bCs/>
          <w:szCs w:val="24"/>
        </w:rPr>
        <w:t xml:space="preserve"> and income have been estimated and calibrated from historical survey data and short-term model results.</w:t>
      </w:r>
    </w:p>
    <w:p w14:paraId="7537213E" w14:textId="7507A5E3" w:rsidR="00C01C10" w:rsidRDefault="00847262" w:rsidP="00CB75AB">
      <w:pPr>
        <w:spacing w:after="240" w:line="360" w:lineRule="auto"/>
        <w:jc w:val="both"/>
        <w:rPr>
          <w:b w:val="0"/>
          <w:bCs/>
          <w:szCs w:val="24"/>
        </w:rPr>
      </w:pPr>
      <w:r w:rsidRPr="00847262">
        <w:rPr>
          <w:b w:val="0"/>
          <w:bCs/>
        </w:rPr>
        <w:t xml:space="preserve">Other exogenous variables include fuel prices (electricity and natural gas), average household income, household size, weather (measured in degree hours), natural gas availability, technology availability, and </w:t>
      </w:r>
      <w:r w:rsidRPr="00CB75AB">
        <w:rPr>
          <w:b w:val="0"/>
          <w:bCs/>
          <w:szCs w:val="24"/>
        </w:rPr>
        <w:t>efficiency standards by technology.</w:t>
      </w:r>
    </w:p>
    <w:p w14:paraId="4EAE1AB3" w14:textId="33EFB9B4" w:rsidR="00850AB1" w:rsidRDefault="00C01C10" w:rsidP="00A027E8">
      <w:pPr>
        <w:spacing w:line="360" w:lineRule="auto"/>
        <w:jc w:val="both"/>
        <w:rPr>
          <w:b w:val="0"/>
          <w:szCs w:val="24"/>
        </w:rPr>
      </w:pPr>
      <w:r w:rsidRPr="00C01C10">
        <w:rPr>
          <w:b w:val="0"/>
          <w:szCs w:val="24"/>
        </w:rPr>
        <w:t>Historical natural gas prices are from the EIA State Energy Data System.</w:t>
      </w:r>
      <w:r w:rsidR="00850AB1">
        <w:rPr>
          <w:b w:val="0"/>
          <w:szCs w:val="24"/>
        </w:rPr>
        <w:t xml:space="preserve"> </w:t>
      </w:r>
      <w:bookmarkStart w:id="357" w:name="_Hlk531776707"/>
      <w:r w:rsidR="00AB75B0">
        <w:rPr>
          <w:b w:val="0"/>
          <w:bCs/>
        </w:rPr>
        <w:t>Forecasts of residential natural gas prices are developed by SCS Forecasting using the commodity price forecasts from SCS Fuel Services and SCS Resource Planning.</w:t>
      </w:r>
      <w:bookmarkEnd w:id="357"/>
      <w:r w:rsidRPr="00C01C10">
        <w:rPr>
          <w:b w:val="0"/>
          <w:szCs w:val="24"/>
        </w:rPr>
        <w:t xml:space="preserve"> Historical electricity prices are from Georgia Power’s records while projected electricity prices are based on the retail price from the </w:t>
      </w:r>
      <w:r w:rsidR="00982938">
        <w:rPr>
          <w:b w:val="0"/>
          <w:szCs w:val="24"/>
        </w:rPr>
        <w:t xml:space="preserve">Company’s </w:t>
      </w:r>
      <w:r w:rsidRPr="00C01C10">
        <w:rPr>
          <w:b w:val="0"/>
          <w:szCs w:val="24"/>
        </w:rPr>
        <w:t xml:space="preserve">10-year financial model and extrapolated based on historical trends for the remaining years. </w:t>
      </w:r>
    </w:p>
    <w:p w14:paraId="0E6F5B25" w14:textId="77777777" w:rsidR="000C3115" w:rsidRDefault="000C3115" w:rsidP="00923250">
      <w:pPr>
        <w:jc w:val="both"/>
        <w:rPr>
          <w:b w:val="0"/>
          <w:szCs w:val="24"/>
        </w:rPr>
      </w:pPr>
    </w:p>
    <w:p w14:paraId="5E69B366" w14:textId="4033CB06" w:rsidR="00850AB1" w:rsidRDefault="00DE67DB" w:rsidP="00A027E8">
      <w:pPr>
        <w:spacing w:line="360" w:lineRule="auto"/>
        <w:jc w:val="both"/>
        <w:rPr>
          <w:b w:val="0"/>
          <w:szCs w:val="24"/>
        </w:rPr>
      </w:pPr>
      <w:r w:rsidRPr="00DE67DB">
        <w:rPr>
          <w:b w:val="0"/>
          <w:bCs/>
        </w:rPr>
        <w:t xml:space="preserve">LoadMAP uses a normal weather condition of </w:t>
      </w:r>
      <w:r w:rsidR="00DB1594">
        <w:rPr>
          <w:b w:val="0"/>
          <w:bCs/>
        </w:rPr>
        <w:t>CDH and HDH</w:t>
      </w:r>
      <w:r w:rsidRPr="00DE67DB">
        <w:rPr>
          <w:b w:val="0"/>
          <w:bCs/>
        </w:rPr>
        <w:t xml:space="preserve"> in deriving the forecast. This weather condition is a forty-</w:t>
      </w:r>
      <w:r w:rsidR="006370F5">
        <w:rPr>
          <w:b w:val="0"/>
          <w:bCs/>
        </w:rPr>
        <w:t>four</w:t>
      </w:r>
      <w:r w:rsidRPr="00DE67DB">
        <w:rPr>
          <w:b w:val="0"/>
          <w:bCs/>
        </w:rPr>
        <w:t xml:space="preserve">-year average of </w:t>
      </w:r>
      <w:r w:rsidR="00DB1594">
        <w:rPr>
          <w:b w:val="0"/>
          <w:bCs/>
        </w:rPr>
        <w:t>CDH and HDH</w:t>
      </w:r>
      <w:r w:rsidRPr="00DE67DB">
        <w:rPr>
          <w:b w:val="0"/>
          <w:bCs/>
        </w:rPr>
        <w:t xml:space="preserve"> from 1980 through </w:t>
      </w:r>
      <w:r w:rsidR="00815938" w:rsidRPr="00DE67DB">
        <w:rPr>
          <w:b w:val="0"/>
          <w:bCs/>
        </w:rPr>
        <w:t>20</w:t>
      </w:r>
      <w:r w:rsidR="00815938">
        <w:rPr>
          <w:b w:val="0"/>
          <w:bCs/>
        </w:rPr>
        <w:t>23</w:t>
      </w:r>
      <w:r w:rsidRPr="00DE67DB">
        <w:rPr>
          <w:b w:val="0"/>
          <w:bCs/>
        </w:rPr>
        <w:t xml:space="preserve">. Economic data are purchased from </w:t>
      </w:r>
      <w:r w:rsidR="007406AC">
        <w:rPr>
          <w:b w:val="0"/>
          <w:bCs/>
        </w:rPr>
        <w:t>S&amp;P Global</w:t>
      </w:r>
      <w:r w:rsidRPr="00DE67DB">
        <w:rPr>
          <w:b w:val="0"/>
          <w:bCs/>
        </w:rPr>
        <w:t xml:space="preserve"> on an annual basis.</w:t>
      </w:r>
      <w:r w:rsidR="00C01C10" w:rsidRPr="00C01C10">
        <w:rPr>
          <w:b w:val="0"/>
          <w:szCs w:val="24"/>
        </w:rPr>
        <w:t xml:space="preserve"> </w:t>
      </w:r>
    </w:p>
    <w:p w14:paraId="10CCE80A" w14:textId="77777777" w:rsidR="00CB75AB" w:rsidRDefault="00CB75AB" w:rsidP="00923250">
      <w:pPr>
        <w:spacing w:line="360" w:lineRule="auto"/>
        <w:jc w:val="both"/>
        <w:rPr>
          <w:b w:val="0"/>
          <w:szCs w:val="24"/>
        </w:rPr>
      </w:pPr>
    </w:p>
    <w:p w14:paraId="5F034BEC" w14:textId="461DCE0A" w:rsidR="00C01C10" w:rsidRDefault="00DE67DB" w:rsidP="003D431A">
      <w:pPr>
        <w:spacing w:line="360" w:lineRule="auto"/>
        <w:jc w:val="both"/>
        <w:rPr>
          <w:b w:val="0"/>
          <w:bCs/>
        </w:rPr>
      </w:pPr>
      <w:r w:rsidRPr="00DE67DB">
        <w:rPr>
          <w:b w:val="0"/>
          <w:bCs/>
        </w:rPr>
        <w:t xml:space="preserve">Customers are separately forecasted at an aggregate level using the model presented in Section 4.2.1. This forecast is then disaggregated to single family, multi-family, and manufactured home using housing type trends from the </w:t>
      </w:r>
      <w:r w:rsidR="00685214">
        <w:rPr>
          <w:b w:val="0"/>
          <w:bCs/>
        </w:rPr>
        <w:t>S&amp;P Global</w:t>
      </w:r>
      <w:r w:rsidRPr="00DE67DB">
        <w:rPr>
          <w:b w:val="0"/>
          <w:bCs/>
        </w:rPr>
        <w:t xml:space="preserve"> housing stock forecast and calibrated to historic Georgia Power billing data splits.</w:t>
      </w:r>
    </w:p>
    <w:p w14:paraId="7861FD5F" w14:textId="77777777" w:rsidR="00CB75AB" w:rsidRDefault="00CB75AB" w:rsidP="00923250">
      <w:pPr>
        <w:spacing w:line="360" w:lineRule="auto"/>
        <w:jc w:val="both"/>
        <w:rPr>
          <w:b w:val="0"/>
          <w:szCs w:val="24"/>
        </w:rPr>
      </w:pPr>
    </w:p>
    <w:p w14:paraId="208C39AA" w14:textId="20961C19" w:rsidR="00C01C10" w:rsidRDefault="00DE67DB" w:rsidP="00A027E8">
      <w:pPr>
        <w:spacing w:line="360" w:lineRule="auto"/>
        <w:jc w:val="both"/>
        <w:rPr>
          <w:b w:val="0"/>
          <w:szCs w:val="24"/>
        </w:rPr>
      </w:pPr>
      <w:r w:rsidRPr="00DE67DB">
        <w:rPr>
          <w:b w:val="0"/>
          <w:bCs/>
        </w:rPr>
        <w:t>The residential long-term forecast is modeled and presented on a calendar basis. The long-term forecast is integrated with the short-term forecast (both on a calendar basis) and later both are converted to a billing basis. Attachment 5.1.1-1 shows the unadjusted long-term calendar forecast, as well as the adjusted calendar and billed forecasts, which are adjusted for reductions in sales resulting from the additional DSM, additional behind</w:t>
      </w:r>
      <w:r w:rsidR="000C3BBC">
        <w:rPr>
          <w:b w:val="0"/>
          <w:bCs/>
        </w:rPr>
        <w:t>-</w:t>
      </w:r>
      <w:r w:rsidRPr="00DE67DB">
        <w:rPr>
          <w:b w:val="0"/>
          <w:bCs/>
        </w:rPr>
        <w:t>the</w:t>
      </w:r>
      <w:r w:rsidR="000C3BBC">
        <w:rPr>
          <w:b w:val="0"/>
          <w:bCs/>
        </w:rPr>
        <w:t>-</w:t>
      </w:r>
      <w:r w:rsidRPr="00DE67DB">
        <w:rPr>
          <w:b w:val="0"/>
          <w:bCs/>
        </w:rPr>
        <w:t>meter distributed solar, and for the addition</w:t>
      </w:r>
      <w:r w:rsidR="00B64F5D">
        <w:rPr>
          <w:b w:val="0"/>
          <w:bCs/>
        </w:rPr>
        <w:t>s</w:t>
      </w:r>
      <w:r w:rsidRPr="00DE67DB">
        <w:rPr>
          <w:b w:val="0"/>
          <w:bCs/>
        </w:rPr>
        <w:t xml:space="preserve"> </w:t>
      </w:r>
      <w:r w:rsidR="00B64F5D">
        <w:rPr>
          <w:b w:val="0"/>
          <w:bCs/>
        </w:rPr>
        <w:t>to</w:t>
      </w:r>
      <w:r w:rsidRPr="00DE67DB">
        <w:rPr>
          <w:b w:val="0"/>
          <w:bCs/>
        </w:rPr>
        <w:t xml:space="preserve"> sales resulting from </w:t>
      </w:r>
      <w:r w:rsidR="00B64F5D">
        <w:rPr>
          <w:b w:val="0"/>
          <w:bCs/>
        </w:rPr>
        <w:t xml:space="preserve">growth in </w:t>
      </w:r>
      <w:r w:rsidRPr="00DE67DB">
        <w:rPr>
          <w:b w:val="0"/>
          <w:bCs/>
        </w:rPr>
        <w:t>electric vehicles.</w:t>
      </w:r>
      <w:r w:rsidR="004B57BF">
        <w:rPr>
          <w:b w:val="0"/>
          <w:bCs/>
        </w:rPr>
        <w:t xml:space="preserve"> </w:t>
      </w:r>
      <w:r w:rsidR="002103FE" w:rsidRPr="00132BB2">
        <w:rPr>
          <w:b w:val="0"/>
        </w:rPr>
        <w:t xml:space="preserve">See </w:t>
      </w:r>
      <w:r w:rsidR="00B3486B">
        <w:rPr>
          <w:b w:val="0"/>
        </w:rPr>
        <w:t>S</w:t>
      </w:r>
      <w:r w:rsidR="002103FE" w:rsidRPr="00132BB2">
        <w:rPr>
          <w:b w:val="0"/>
        </w:rPr>
        <w:t xml:space="preserve">ection </w:t>
      </w:r>
      <w:r w:rsidR="00D93AF3">
        <w:rPr>
          <w:b w:val="0"/>
        </w:rPr>
        <w:t>9</w:t>
      </w:r>
      <w:r w:rsidR="002103FE" w:rsidRPr="00132BB2">
        <w:rPr>
          <w:b w:val="0"/>
        </w:rPr>
        <w:t>.4</w:t>
      </w:r>
      <w:r w:rsidR="002103FE">
        <w:rPr>
          <w:b w:val="0"/>
        </w:rPr>
        <w:t xml:space="preserve"> </w:t>
      </w:r>
      <w:r w:rsidR="002103FE" w:rsidRPr="00132BB2">
        <w:rPr>
          <w:b w:val="0"/>
        </w:rPr>
        <w:t>for more information on</w:t>
      </w:r>
      <w:r w:rsidR="002103FE">
        <w:rPr>
          <w:b w:val="0"/>
        </w:rPr>
        <w:t xml:space="preserve"> the</w:t>
      </w:r>
      <w:r w:rsidR="002103FE" w:rsidRPr="00132BB2">
        <w:rPr>
          <w:b w:val="0"/>
        </w:rPr>
        <w:t xml:space="preserve"> adjustments made to the peak demand </w:t>
      </w:r>
      <w:r w:rsidR="002103FE">
        <w:rPr>
          <w:b w:val="0"/>
        </w:rPr>
        <w:t xml:space="preserve">and energy </w:t>
      </w:r>
      <w:r w:rsidR="002103FE" w:rsidRPr="00132BB2">
        <w:rPr>
          <w:b w:val="0"/>
        </w:rPr>
        <w:t>forecast</w:t>
      </w:r>
      <w:r w:rsidR="002103FE">
        <w:rPr>
          <w:b w:val="0"/>
        </w:rPr>
        <w:t>s</w:t>
      </w:r>
      <w:r w:rsidR="002103FE" w:rsidRPr="00132BB2">
        <w:rPr>
          <w:b w:val="0"/>
        </w:rPr>
        <w:t>.</w:t>
      </w:r>
    </w:p>
    <w:p w14:paraId="26B72B82" w14:textId="77777777" w:rsidR="000C3115" w:rsidRDefault="000C3115" w:rsidP="00923250">
      <w:pPr>
        <w:spacing w:line="360" w:lineRule="auto"/>
        <w:jc w:val="both"/>
        <w:rPr>
          <w:b w:val="0"/>
          <w:szCs w:val="24"/>
        </w:rPr>
      </w:pPr>
    </w:p>
    <w:p w14:paraId="3E99206B" w14:textId="35B922BF" w:rsidR="00DB7B2F" w:rsidRPr="00253B5E" w:rsidRDefault="00253B5E" w:rsidP="00BC0F80">
      <w:pPr>
        <w:pStyle w:val="BodyTextIndent"/>
        <w:spacing w:line="360" w:lineRule="auto"/>
        <w:ind w:left="0"/>
        <w:jc w:val="left"/>
      </w:pPr>
      <w:r w:rsidRPr="00253B5E">
        <w:t xml:space="preserve">Several attachments follow which comprise the Budget </w:t>
      </w:r>
      <w:r w:rsidR="00347706" w:rsidRPr="00253B5E">
        <w:t>20</w:t>
      </w:r>
      <w:r w:rsidR="00347706">
        <w:t>25</w:t>
      </w:r>
      <w:r w:rsidR="00347706" w:rsidRPr="00253B5E">
        <w:t xml:space="preserve"> </w:t>
      </w:r>
      <w:r>
        <w:t>Resident</w:t>
      </w:r>
      <w:r w:rsidRPr="00253B5E">
        <w:t>ial Long-term Forecast.</w:t>
      </w:r>
      <w:r w:rsidR="00636F94" w:rsidRPr="00253B5E">
        <w:t xml:space="preserve"> </w:t>
      </w:r>
    </w:p>
    <w:p w14:paraId="137D6E55" w14:textId="77777777" w:rsidR="00253B5E" w:rsidRDefault="00253B5E" w:rsidP="00BC0F80">
      <w:pPr>
        <w:pStyle w:val="BodyTextIndent"/>
        <w:spacing w:line="360" w:lineRule="auto"/>
        <w:ind w:left="0"/>
        <w:jc w:val="left"/>
        <w:rPr>
          <w:b/>
        </w:rPr>
        <w:sectPr w:rsidR="00253B5E" w:rsidSect="00DB7B2F">
          <w:footerReference w:type="default" r:id="rId48"/>
          <w:pgSz w:w="12240" w:h="15840"/>
          <w:pgMar w:top="1440" w:right="1440" w:bottom="1440" w:left="1440" w:header="720" w:footer="720" w:gutter="0"/>
          <w:cols w:space="720"/>
          <w:docGrid w:linePitch="273"/>
        </w:sectPr>
      </w:pPr>
    </w:p>
    <w:p w14:paraId="4DFE74F7" w14:textId="546DDD8C" w:rsidR="00715024" w:rsidRDefault="00BC0F80" w:rsidP="00BC0F80">
      <w:pPr>
        <w:pStyle w:val="BodyTextIndent"/>
        <w:spacing w:line="360" w:lineRule="auto"/>
        <w:ind w:left="0"/>
        <w:jc w:val="left"/>
        <w:rPr>
          <w:b/>
        </w:rPr>
      </w:pPr>
      <w:r w:rsidRPr="00BC0F80">
        <w:rPr>
          <w:b/>
        </w:rPr>
        <w:lastRenderedPageBreak/>
        <w:t>Attachment 5.1.1-1:</w:t>
      </w:r>
      <w:r w:rsidR="00616255">
        <w:rPr>
          <w:b/>
        </w:rPr>
        <w:t xml:space="preserve"> </w:t>
      </w:r>
      <w:r w:rsidRPr="00BC0F80">
        <w:rPr>
          <w:b/>
        </w:rPr>
        <w:t>Total Residential Energy Sales</w:t>
      </w:r>
      <w:r w:rsidR="002C7A3E">
        <w:rPr>
          <w:b/>
        </w:rPr>
        <w:t xml:space="preserve"> (GWh)</w:t>
      </w:r>
    </w:p>
    <w:p w14:paraId="35DA0983" w14:textId="77777777" w:rsidR="002300F7" w:rsidRDefault="002300F7" w:rsidP="002300F7">
      <w:pPr>
        <w:pStyle w:val="BodyTextIndent"/>
        <w:spacing w:after="0"/>
        <w:ind w:left="0"/>
        <w:rPr>
          <w:b/>
        </w:rPr>
      </w:pPr>
      <w:r>
        <w:rPr>
          <w:b/>
        </w:rPr>
        <w:t xml:space="preserve">Residential Long-Term Forecast </w:t>
      </w:r>
    </w:p>
    <w:p w14:paraId="08ABC202" w14:textId="4D8D258A" w:rsidR="002300F7" w:rsidRDefault="002300F7" w:rsidP="002300F7">
      <w:pPr>
        <w:pStyle w:val="BodyTextIndent"/>
        <w:spacing w:after="0"/>
        <w:ind w:left="0"/>
        <w:rPr>
          <w:b/>
        </w:rPr>
      </w:pPr>
      <w:r>
        <w:rPr>
          <w:b/>
        </w:rPr>
        <w:t xml:space="preserve">Budget </w:t>
      </w:r>
      <w:r w:rsidR="00686B6C">
        <w:rPr>
          <w:b/>
        </w:rPr>
        <w:t>2025</w:t>
      </w:r>
    </w:p>
    <w:p w14:paraId="403E6AEB" w14:textId="04AD858F" w:rsidR="002300F7" w:rsidRDefault="002300F7" w:rsidP="002300F7">
      <w:pPr>
        <w:pStyle w:val="BodyTextIndent"/>
        <w:spacing w:after="0"/>
        <w:ind w:left="0"/>
        <w:rPr>
          <w:b/>
        </w:rPr>
      </w:pPr>
    </w:p>
    <w:p w14:paraId="6721F850" w14:textId="77777777" w:rsidR="00686B6C" w:rsidRDefault="00686B6C" w:rsidP="002300F7">
      <w:pPr>
        <w:pStyle w:val="BodyTextIndent"/>
        <w:spacing w:after="0"/>
        <w:ind w:left="0"/>
        <w:rPr>
          <w:b/>
        </w:rPr>
      </w:pPr>
      <w:r w:rsidRPr="00686B6C">
        <w:rPr>
          <w:noProof/>
        </w:rPr>
        <w:drawing>
          <wp:inline distT="0" distB="0" distL="0" distR="0" wp14:anchorId="2A08F971" wp14:editId="0420941B">
            <wp:extent cx="7143750" cy="4076700"/>
            <wp:effectExtent l="0" t="0" r="0" b="0"/>
            <wp:docPr id="16545938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7143750" cy="4076700"/>
                    </a:xfrm>
                    <a:prstGeom prst="rect">
                      <a:avLst/>
                    </a:prstGeom>
                    <a:noFill/>
                    <a:ln>
                      <a:noFill/>
                    </a:ln>
                  </pic:spPr>
                </pic:pic>
              </a:graphicData>
            </a:graphic>
          </wp:inline>
        </w:drawing>
      </w:r>
    </w:p>
    <w:p w14:paraId="0FE97833" w14:textId="5E8902C8" w:rsidR="00BD451D" w:rsidRDefault="00BD451D" w:rsidP="002300F7">
      <w:pPr>
        <w:pStyle w:val="BodyTextIndent"/>
        <w:spacing w:after="0"/>
        <w:ind w:left="0"/>
        <w:rPr>
          <w:b/>
        </w:rPr>
      </w:pPr>
    </w:p>
    <w:p w14:paraId="247AA08D" w14:textId="6A44B2C1" w:rsidR="00E1223B" w:rsidRDefault="00E1223B" w:rsidP="00DB7B2F">
      <w:pPr>
        <w:pStyle w:val="BodyTextIndent"/>
        <w:spacing w:line="360" w:lineRule="auto"/>
        <w:ind w:left="0"/>
        <w:rPr>
          <w:noProof/>
        </w:rPr>
      </w:pPr>
    </w:p>
    <w:p w14:paraId="37CA8202" w14:textId="77777777" w:rsidR="00BC7C3C" w:rsidRDefault="00BC7C3C">
      <w:pPr>
        <w:spacing w:after="200" w:line="276" w:lineRule="auto"/>
        <w:jc w:val="left"/>
        <w:rPr>
          <w:b w:val="0"/>
        </w:rPr>
      </w:pPr>
    </w:p>
    <w:p w14:paraId="6EEA5540" w14:textId="75738BCF" w:rsidR="00DB7B2F" w:rsidRDefault="00BC7C3C" w:rsidP="00F97CB4">
      <w:pPr>
        <w:pStyle w:val="ListBullet4"/>
      </w:pPr>
      <w:r>
        <w:t xml:space="preserve">*In the following tables, values are based on the long-term </w:t>
      </w:r>
      <w:r w:rsidR="000D3350">
        <w:t xml:space="preserve">calendar </w:t>
      </w:r>
      <w:r>
        <w:t>end-use model. No external adjustments were made.</w:t>
      </w:r>
      <w:r w:rsidR="00DB7B2F">
        <w:br w:type="page"/>
      </w:r>
    </w:p>
    <w:p w14:paraId="2ED55FE1" w14:textId="0BDC4DB9" w:rsidR="00BC0F80" w:rsidRDefault="00BC0F80" w:rsidP="00BC0F80">
      <w:pPr>
        <w:pStyle w:val="BodyTextIndent"/>
        <w:spacing w:line="360" w:lineRule="auto"/>
        <w:ind w:left="0"/>
        <w:jc w:val="left"/>
        <w:rPr>
          <w:b/>
        </w:rPr>
      </w:pPr>
      <w:r>
        <w:rPr>
          <w:b/>
        </w:rPr>
        <w:lastRenderedPageBreak/>
        <w:t>Attachment 5.1.1-2: GWh/BBtu Sales by End Use</w:t>
      </w:r>
      <w:r w:rsidR="00CB75AB">
        <w:rPr>
          <w:b/>
        </w:rPr>
        <w:t xml:space="preserve"> – Total Residential</w:t>
      </w:r>
    </w:p>
    <w:p w14:paraId="4ACBF64E" w14:textId="77777777" w:rsidR="0009393F" w:rsidRDefault="0009393F" w:rsidP="00EA25E2">
      <w:pPr>
        <w:pStyle w:val="BodyTextIndent"/>
        <w:spacing w:after="0"/>
        <w:ind w:left="0"/>
        <w:rPr>
          <w:b/>
        </w:rPr>
      </w:pPr>
      <w:r>
        <w:rPr>
          <w:b/>
        </w:rPr>
        <w:t xml:space="preserve">Residential </w:t>
      </w:r>
      <w:r w:rsidR="005078FC">
        <w:rPr>
          <w:b/>
        </w:rPr>
        <w:t>L</w:t>
      </w:r>
      <w:r>
        <w:rPr>
          <w:b/>
        </w:rPr>
        <w:t>ong-Term Forecast</w:t>
      </w:r>
      <w:r w:rsidR="002300F7">
        <w:rPr>
          <w:b/>
        </w:rPr>
        <w:t xml:space="preserve"> (LoadMAP-R)</w:t>
      </w:r>
      <w:r>
        <w:rPr>
          <w:b/>
        </w:rPr>
        <w:t xml:space="preserve"> </w:t>
      </w:r>
      <w:r w:rsidR="007A36A6">
        <w:rPr>
          <w:b/>
        </w:rPr>
        <w:t>U</w:t>
      </w:r>
      <w:r>
        <w:rPr>
          <w:b/>
        </w:rPr>
        <w:t>nadjusted</w:t>
      </w:r>
    </w:p>
    <w:p w14:paraId="0DB4F7B0" w14:textId="56751550" w:rsidR="0009393F" w:rsidRDefault="0009393F" w:rsidP="00EA25E2">
      <w:pPr>
        <w:pStyle w:val="BodyTextIndent"/>
        <w:spacing w:after="0"/>
        <w:ind w:left="0"/>
        <w:rPr>
          <w:b/>
        </w:rPr>
      </w:pPr>
      <w:r>
        <w:rPr>
          <w:b/>
        </w:rPr>
        <w:t xml:space="preserve">Budget </w:t>
      </w:r>
      <w:r w:rsidR="00686B6C">
        <w:rPr>
          <w:b/>
        </w:rPr>
        <w:t>2025</w:t>
      </w:r>
    </w:p>
    <w:p w14:paraId="76CFE030" w14:textId="77777777" w:rsidR="001F6E3F" w:rsidRDefault="001F6E3F" w:rsidP="00EA25E2">
      <w:pPr>
        <w:pStyle w:val="BodyTextIndent"/>
        <w:spacing w:after="0"/>
        <w:ind w:left="0"/>
        <w:rPr>
          <w:b/>
        </w:rPr>
      </w:pPr>
    </w:p>
    <w:p w14:paraId="34FC1DB5" w14:textId="77777777" w:rsidR="00A1727D" w:rsidRDefault="00A1727D" w:rsidP="00EA25E2">
      <w:pPr>
        <w:pStyle w:val="BodyTextIndent"/>
        <w:spacing w:after="0"/>
        <w:ind w:left="0"/>
        <w:rPr>
          <w:b/>
        </w:rPr>
      </w:pPr>
    </w:p>
    <w:p w14:paraId="7C6C435D" w14:textId="77D3621D" w:rsidR="00686B6C" w:rsidRDefault="00F40814" w:rsidP="00EA25E2">
      <w:pPr>
        <w:pStyle w:val="BodyTextIndent"/>
        <w:spacing w:after="0"/>
        <w:ind w:left="0"/>
        <w:rPr>
          <w:b/>
          <w:noProof/>
        </w:rPr>
      </w:pPr>
      <w:r w:rsidRPr="00F40814">
        <w:rPr>
          <w:b/>
          <w:noProof/>
        </w:rPr>
        <w:drawing>
          <wp:inline distT="0" distB="0" distL="0" distR="0" wp14:anchorId="7C85219A" wp14:editId="7E07CA59">
            <wp:extent cx="8229600" cy="3785870"/>
            <wp:effectExtent l="0" t="0" r="0" b="5080"/>
            <wp:docPr id="22632933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229600" cy="3785870"/>
                    </a:xfrm>
                    <a:prstGeom prst="rect">
                      <a:avLst/>
                    </a:prstGeom>
                    <a:noFill/>
                    <a:ln>
                      <a:noFill/>
                    </a:ln>
                  </pic:spPr>
                </pic:pic>
              </a:graphicData>
            </a:graphic>
          </wp:inline>
        </w:drawing>
      </w:r>
    </w:p>
    <w:p w14:paraId="26D7473E" w14:textId="0EA33B3A" w:rsidR="00BD451D" w:rsidRDefault="00BD451D" w:rsidP="00EA25E2">
      <w:pPr>
        <w:pStyle w:val="BodyTextIndent"/>
        <w:spacing w:after="0"/>
        <w:ind w:left="0"/>
        <w:rPr>
          <w:b/>
          <w:noProof/>
        </w:rPr>
      </w:pPr>
    </w:p>
    <w:p w14:paraId="728EDD3F" w14:textId="7AE322C7" w:rsidR="00EA25E2" w:rsidRDefault="00EA25E2" w:rsidP="00EA25E2">
      <w:pPr>
        <w:pStyle w:val="BodyTextIndent"/>
        <w:spacing w:after="0"/>
        <w:ind w:left="0"/>
        <w:rPr>
          <w:b/>
        </w:rPr>
      </w:pPr>
    </w:p>
    <w:p w14:paraId="6DCAB092" w14:textId="4D0A838E" w:rsidR="0009393F" w:rsidRDefault="0009393F" w:rsidP="009D23F6">
      <w:pPr>
        <w:pStyle w:val="BodyTextIndent"/>
        <w:spacing w:line="360" w:lineRule="auto"/>
        <w:ind w:left="0"/>
      </w:pPr>
    </w:p>
    <w:p w14:paraId="13E4C674" w14:textId="77777777" w:rsidR="0009393F" w:rsidRDefault="0009393F">
      <w:pPr>
        <w:spacing w:after="200" w:line="276" w:lineRule="auto"/>
        <w:jc w:val="left"/>
        <w:sectPr w:rsidR="0009393F" w:rsidSect="00B213A7">
          <w:pgSz w:w="15840" w:h="12240" w:orient="landscape"/>
          <w:pgMar w:top="1440" w:right="1440" w:bottom="1440" w:left="1440" w:header="720" w:footer="720" w:gutter="0"/>
          <w:cols w:space="720"/>
          <w:docGrid w:linePitch="273"/>
        </w:sectPr>
      </w:pPr>
    </w:p>
    <w:p w14:paraId="4A9E1BE5" w14:textId="30C37E3E" w:rsidR="0009393F" w:rsidRDefault="0009393F" w:rsidP="0009393F">
      <w:pPr>
        <w:pStyle w:val="BodyTextIndent"/>
        <w:spacing w:line="360" w:lineRule="auto"/>
        <w:ind w:left="0"/>
        <w:jc w:val="left"/>
        <w:rPr>
          <w:b/>
        </w:rPr>
      </w:pPr>
      <w:r>
        <w:rPr>
          <w:b/>
        </w:rPr>
        <w:lastRenderedPageBreak/>
        <w:t xml:space="preserve">Attachment 5.1.1-2: GWh/BBtu Sales by End Use </w:t>
      </w:r>
      <w:r w:rsidR="003D431A">
        <w:rPr>
          <w:b/>
        </w:rPr>
        <w:t xml:space="preserve">– Total Residential </w:t>
      </w:r>
      <w:r>
        <w:rPr>
          <w:b/>
        </w:rPr>
        <w:t>(cont’d)</w:t>
      </w:r>
    </w:p>
    <w:p w14:paraId="2EA0EC2C" w14:textId="77777777" w:rsidR="00EA25E2" w:rsidRDefault="00EA25E2" w:rsidP="00EA25E2">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7A36A6">
        <w:rPr>
          <w:b/>
        </w:rPr>
        <w:t>U</w:t>
      </w:r>
      <w:r>
        <w:rPr>
          <w:b/>
        </w:rPr>
        <w:t>nadjusted</w:t>
      </w:r>
    </w:p>
    <w:p w14:paraId="6EAF584C" w14:textId="4B461AE2" w:rsidR="00930BB0" w:rsidRDefault="00EA25E2" w:rsidP="00EA25E2">
      <w:pPr>
        <w:pStyle w:val="BodyTextIndent"/>
        <w:ind w:left="0"/>
        <w:rPr>
          <w:b/>
        </w:rPr>
      </w:pPr>
      <w:r>
        <w:rPr>
          <w:b/>
        </w:rPr>
        <w:t xml:space="preserve">Budget </w:t>
      </w:r>
      <w:r w:rsidR="005D58AC">
        <w:rPr>
          <w:b/>
        </w:rPr>
        <w:t>2025</w:t>
      </w:r>
    </w:p>
    <w:p w14:paraId="6BF4074E" w14:textId="77777777" w:rsidR="001F6E3F" w:rsidRDefault="001F6E3F" w:rsidP="00EA25E2">
      <w:pPr>
        <w:pStyle w:val="BodyTextIndent"/>
        <w:ind w:left="0"/>
        <w:rPr>
          <w:b/>
        </w:rPr>
      </w:pPr>
    </w:p>
    <w:p w14:paraId="442445E6" w14:textId="1BFF88AA" w:rsidR="00686B6C" w:rsidRDefault="00BB2B63" w:rsidP="00EA25E2">
      <w:pPr>
        <w:pStyle w:val="BodyTextIndent"/>
        <w:ind w:left="0"/>
        <w:rPr>
          <w:b/>
          <w:noProof/>
        </w:rPr>
      </w:pPr>
      <w:r w:rsidRPr="00BB2B63">
        <w:rPr>
          <w:b/>
          <w:noProof/>
        </w:rPr>
        <w:drawing>
          <wp:inline distT="0" distB="0" distL="0" distR="0" wp14:anchorId="60E830DE" wp14:editId="6A36F831">
            <wp:extent cx="8229600" cy="3225165"/>
            <wp:effectExtent l="0" t="0" r="0" b="0"/>
            <wp:docPr id="2825403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229600" cy="3225165"/>
                    </a:xfrm>
                    <a:prstGeom prst="rect">
                      <a:avLst/>
                    </a:prstGeom>
                    <a:noFill/>
                    <a:ln>
                      <a:noFill/>
                    </a:ln>
                  </pic:spPr>
                </pic:pic>
              </a:graphicData>
            </a:graphic>
          </wp:inline>
        </w:drawing>
      </w:r>
    </w:p>
    <w:p w14:paraId="604188BC" w14:textId="58D2A7D9" w:rsidR="003847EE" w:rsidRDefault="003847EE" w:rsidP="00EA25E2">
      <w:pPr>
        <w:pStyle w:val="BodyTextIndent"/>
        <w:ind w:left="0"/>
        <w:rPr>
          <w:b/>
        </w:rPr>
      </w:pPr>
    </w:p>
    <w:p w14:paraId="73477D90" w14:textId="047F847D" w:rsidR="005C4BF8" w:rsidRDefault="005C4BF8" w:rsidP="0009393F">
      <w:pPr>
        <w:pStyle w:val="BodyTextIndent"/>
        <w:ind w:left="0"/>
        <w:rPr>
          <w:noProof/>
        </w:rPr>
      </w:pPr>
    </w:p>
    <w:p w14:paraId="25875CB5" w14:textId="513D1EA3" w:rsidR="002E2B1B" w:rsidRDefault="002E2B1B" w:rsidP="0009393F">
      <w:pPr>
        <w:pStyle w:val="BodyTextIndent"/>
        <w:ind w:left="0"/>
        <w:rPr>
          <w:noProof/>
        </w:rPr>
      </w:pPr>
    </w:p>
    <w:p w14:paraId="0F85AFE1" w14:textId="4733BA20" w:rsidR="00A1727D" w:rsidRDefault="00A1727D" w:rsidP="0009393F">
      <w:pPr>
        <w:pStyle w:val="BodyTextIndent"/>
        <w:ind w:left="0"/>
        <w:rPr>
          <w:noProof/>
        </w:rPr>
      </w:pPr>
    </w:p>
    <w:p w14:paraId="4DE63F62" w14:textId="06876AEF" w:rsidR="0009393F" w:rsidRDefault="0009393F" w:rsidP="0009393F">
      <w:pPr>
        <w:pStyle w:val="BodyTextIndent"/>
        <w:ind w:left="0"/>
      </w:pPr>
    </w:p>
    <w:p w14:paraId="151A683F" w14:textId="77777777" w:rsidR="0009393F" w:rsidRDefault="0009393F">
      <w:pPr>
        <w:spacing w:after="200" w:line="276" w:lineRule="auto"/>
        <w:jc w:val="left"/>
      </w:pPr>
      <w:r>
        <w:br w:type="page"/>
      </w:r>
    </w:p>
    <w:p w14:paraId="311E03F7" w14:textId="7C8CB2D5" w:rsidR="0009393F" w:rsidRDefault="0009393F" w:rsidP="0009393F">
      <w:pPr>
        <w:pStyle w:val="BodyTextIndent"/>
        <w:spacing w:line="360" w:lineRule="auto"/>
        <w:ind w:left="0"/>
        <w:jc w:val="left"/>
        <w:rPr>
          <w:b/>
        </w:rPr>
      </w:pPr>
      <w:r>
        <w:rPr>
          <w:b/>
        </w:rPr>
        <w:lastRenderedPageBreak/>
        <w:t xml:space="preserve">Attachment 5.1.1-2: GWh/BBtu Sales by End Use </w:t>
      </w:r>
      <w:r w:rsidR="003D431A">
        <w:rPr>
          <w:b/>
        </w:rPr>
        <w:t xml:space="preserve">– Total Residential </w:t>
      </w:r>
      <w:r>
        <w:rPr>
          <w:b/>
        </w:rPr>
        <w:t>(cont’d)</w:t>
      </w:r>
    </w:p>
    <w:p w14:paraId="678AF4B8" w14:textId="77777777" w:rsidR="00EA25E2" w:rsidRDefault="00EA25E2" w:rsidP="00EA25E2">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7A36A6">
        <w:rPr>
          <w:b/>
        </w:rPr>
        <w:t>U</w:t>
      </w:r>
      <w:r>
        <w:rPr>
          <w:b/>
        </w:rPr>
        <w:t>nadjusted</w:t>
      </w:r>
    </w:p>
    <w:p w14:paraId="58DB1673" w14:textId="430BF5F5" w:rsidR="0009393F" w:rsidRDefault="00EA25E2" w:rsidP="00EA25E2">
      <w:pPr>
        <w:pStyle w:val="BodyTextIndent"/>
        <w:ind w:left="0"/>
        <w:rPr>
          <w:b/>
        </w:rPr>
      </w:pPr>
      <w:r>
        <w:rPr>
          <w:b/>
        </w:rPr>
        <w:t xml:space="preserve">Budget </w:t>
      </w:r>
      <w:r w:rsidR="005D58AC">
        <w:rPr>
          <w:b/>
        </w:rPr>
        <w:t>2025</w:t>
      </w:r>
    </w:p>
    <w:p w14:paraId="4F1677D4" w14:textId="77777777" w:rsidR="001F6E3F" w:rsidRDefault="001F6E3F" w:rsidP="00EA25E2">
      <w:pPr>
        <w:pStyle w:val="BodyTextIndent"/>
        <w:ind w:left="0"/>
        <w:rPr>
          <w:b/>
        </w:rPr>
      </w:pPr>
    </w:p>
    <w:p w14:paraId="123648BA" w14:textId="007967C8" w:rsidR="00686B6C" w:rsidRDefault="00AD36F7" w:rsidP="00EA25E2">
      <w:pPr>
        <w:pStyle w:val="BodyTextIndent"/>
        <w:ind w:left="0"/>
        <w:rPr>
          <w:b/>
        </w:rPr>
      </w:pPr>
      <w:r w:rsidRPr="00AD36F7">
        <w:rPr>
          <w:b/>
          <w:noProof/>
        </w:rPr>
        <w:drawing>
          <wp:inline distT="0" distB="0" distL="0" distR="0" wp14:anchorId="4264C5E3" wp14:editId="7143A08A">
            <wp:extent cx="8229600" cy="4614545"/>
            <wp:effectExtent l="0" t="0" r="0" b="0"/>
            <wp:docPr id="172572701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229600" cy="4614545"/>
                    </a:xfrm>
                    <a:prstGeom prst="rect">
                      <a:avLst/>
                    </a:prstGeom>
                    <a:noFill/>
                    <a:ln>
                      <a:noFill/>
                    </a:ln>
                  </pic:spPr>
                </pic:pic>
              </a:graphicData>
            </a:graphic>
          </wp:inline>
        </w:drawing>
      </w:r>
    </w:p>
    <w:p w14:paraId="67F93149" w14:textId="562DC427" w:rsidR="0009393F" w:rsidRDefault="00DB1CF8" w:rsidP="0009393F">
      <w:pPr>
        <w:pStyle w:val="BodyTextIndent"/>
        <w:ind w:left="0"/>
      </w:pPr>
      <w:r w:rsidRPr="00DB1CF8">
        <w:t xml:space="preserve"> </w:t>
      </w:r>
      <w:r w:rsidR="0009393F">
        <w:br w:type="page"/>
      </w:r>
    </w:p>
    <w:p w14:paraId="5DE4B2DB" w14:textId="77777777" w:rsidR="0009393F" w:rsidRDefault="0009393F">
      <w:pPr>
        <w:spacing w:after="200" w:line="276" w:lineRule="auto"/>
        <w:jc w:val="left"/>
        <w:sectPr w:rsidR="0009393F" w:rsidSect="0009393F">
          <w:pgSz w:w="15840" w:h="12240" w:orient="landscape"/>
          <w:pgMar w:top="1440" w:right="1440" w:bottom="1440" w:left="1440" w:header="720" w:footer="720" w:gutter="0"/>
          <w:cols w:space="720"/>
          <w:docGrid w:linePitch="273"/>
        </w:sectPr>
      </w:pPr>
    </w:p>
    <w:p w14:paraId="34247BA5" w14:textId="5670FB17" w:rsidR="000409E4" w:rsidRDefault="000409E4" w:rsidP="000409E4">
      <w:pPr>
        <w:pStyle w:val="BodyTextIndent"/>
        <w:spacing w:line="360" w:lineRule="auto"/>
        <w:ind w:left="0"/>
        <w:jc w:val="left"/>
        <w:rPr>
          <w:b/>
        </w:rPr>
      </w:pPr>
      <w:r>
        <w:rPr>
          <w:b/>
        </w:rPr>
        <w:lastRenderedPageBreak/>
        <w:t xml:space="preserve">Attachment 5.1.1-2: GWh/BBtu Sales by End Use </w:t>
      </w:r>
      <w:r w:rsidR="003D431A">
        <w:rPr>
          <w:b/>
        </w:rPr>
        <w:t xml:space="preserve">– Total Residential </w:t>
      </w:r>
      <w:r>
        <w:rPr>
          <w:b/>
        </w:rPr>
        <w:t>(cont’d)</w:t>
      </w:r>
    </w:p>
    <w:p w14:paraId="76A82F5F" w14:textId="77777777" w:rsidR="000409E4" w:rsidRDefault="000409E4" w:rsidP="000409E4">
      <w:pPr>
        <w:pStyle w:val="BodyTextIndent"/>
        <w:spacing w:after="0"/>
        <w:ind w:left="0"/>
        <w:rPr>
          <w:b/>
        </w:rPr>
      </w:pPr>
      <w:r>
        <w:rPr>
          <w:b/>
        </w:rPr>
        <w:t>Residential Long-Term Forecast (LoadMAP-R) Unadjusted</w:t>
      </w:r>
    </w:p>
    <w:p w14:paraId="0E565B34" w14:textId="369EDD0A" w:rsidR="000409E4" w:rsidRDefault="000409E4" w:rsidP="000409E4">
      <w:pPr>
        <w:pStyle w:val="BodyTextIndent"/>
        <w:ind w:left="0"/>
        <w:rPr>
          <w:b/>
        </w:rPr>
      </w:pPr>
      <w:r>
        <w:rPr>
          <w:b/>
        </w:rPr>
        <w:t xml:space="preserve">Budget </w:t>
      </w:r>
      <w:r w:rsidR="005D58AC">
        <w:rPr>
          <w:b/>
        </w:rPr>
        <w:t>2025</w:t>
      </w:r>
    </w:p>
    <w:p w14:paraId="39A315BA" w14:textId="77777777" w:rsidR="001F6E3F" w:rsidRDefault="001F6E3F" w:rsidP="000409E4">
      <w:pPr>
        <w:pStyle w:val="BodyTextIndent"/>
        <w:ind w:left="0"/>
        <w:rPr>
          <w:b/>
        </w:rPr>
      </w:pPr>
    </w:p>
    <w:p w14:paraId="421D67B7" w14:textId="265160D9" w:rsidR="00686B6C" w:rsidRDefault="00135DA2" w:rsidP="000409E4">
      <w:pPr>
        <w:pStyle w:val="BodyTextIndent"/>
        <w:ind w:left="0"/>
        <w:rPr>
          <w:noProof/>
        </w:rPr>
      </w:pPr>
      <w:r w:rsidRPr="00135DA2">
        <w:rPr>
          <w:noProof/>
        </w:rPr>
        <w:drawing>
          <wp:inline distT="0" distB="0" distL="0" distR="0" wp14:anchorId="5E57353B" wp14:editId="556C9657">
            <wp:extent cx="7108190" cy="4809490"/>
            <wp:effectExtent l="0" t="0" r="0" b="0"/>
            <wp:docPr id="134470537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108190" cy="4809490"/>
                    </a:xfrm>
                    <a:prstGeom prst="rect">
                      <a:avLst/>
                    </a:prstGeom>
                    <a:noFill/>
                    <a:ln>
                      <a:noFill/>
                    </a:ln>
                  </pic:spPr>
                </pic:pic>
              </a:graphicData>
            </a:graphic>
          </wp:inline>
        </w:drawing>
      </w:r>
    </w:p>
    <w:p w14:paraId="71485C19" w14:textId="78721426" w:rsidR="000409E4" w:rsidRDefault="000409E4" w:rsidP="000409E4">
      <w:pPr>
        <w:pStyle w:val="BodyTextIndent"/>
        <w:ind w:left="0"/>
      </w:pPr>
    </w:p>
    <w:p w14:paraId="29AE66A2" w14:textId="0C37C3EF" w:rsidR="00EA25E2" w:rsidRDefault="000409E4" w:rsidP="000409E4">
      <w:pPr>
        <w:spacing w:after="200" w:line="276" w:lineRule="auto"/>
        <w:jc w:val="left"/>
      </w:pPr>
      <w:r>
        <w:rPr>
          <w:b w:val="0"/>
        </w:rPr>
        <w:br w:type="page"/>
      </w:r>
      <w:r w:rsidR="00EA25E2">
        <w:lastRenderedPageBreak/>
        <w:t xml:space="preserve">Attachment 5.1.1-3: GWh/BBtu Sales by End Use – </w:t>
      </w:r>
      <w:r w:rsidR="003D431A">
        <w:t xml:space="preserve">Residential </w:t>
      </w:r>
      <w:r w:rsidR="00EA25E2">
        <w:t>Single Family</w:t>
      </w:r>
    </w:p>
    <w:p w14:paraId="22A41DFC" w14:textId="77777777" w:rsidR="00EA25E2" w:rsidRDefault="00EA25E2" w:rsidP="003E1B33">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4D1E5D">
        <w:rPr>
          <w:b/>
        </w:rPr>
        <w:t>U</w:t>
      </w:r>
      <w:r>
        <w:rPr>
          <w:b/>
        </w:rPr>
        <w:t>nadjusted</w:t>
      </w:r>
    </w:p>
    <w:p w14:paraId="0D1F0AD1" w14:textId="52B68498" w:rsidR="003E1B33" w:rsidRDefault="00EA25E2" w:rsidP="005E2BE9">
      <w:pPr>
        <w:spacing w:line="276" w:lineRule="auto"/>
      </w:pPr>
      <w:r>
        <w:t xml:space="preserve">Budget </w:t>
      </w:r>
      <w:r w:rsidR="00D6030C">
        <w:t>2025</w:t>
      </w:r>
    </w:p>
    <w:p w14:paraId="71D4507D" w14:textId="5A3FF4D0" w:rsidR="005C4BF8" w:rsidRDefault="005C4BF8" w:rsidP="00B21D6F">
      <w:pPr>
        <w:pStyle w:val="BodyTextIndent"/>
        <w:spacing w:line="360" w:lineRule="auto"/>
        <w:ind w:left="0"/>
        <w:rPr>
          <w:noProof/>
        </w:rPr>
      </w:pPr>
    </w:p>
    <w:p w14:paraId="746407E0" w14:textId="55C5ECB3" w:rsidR="00D6030C" w:rsidRDefault="00F336BC" w:rsidP="00B21D6F">
      <w:pPr>
        <w:pStyle w:val="BodyTextIndent"/>
        <w:spacing w:line="360" w:lineRule="auto"/>
        <w:ind w:left="0"/>
        <w:rPr>
          <w:noProof/>
        </w:rPr>
      </w:pPr>
      <w:r w:rsidRPr="00F336BC">
        <w:rPr>
          <w:noProof/>
        </w:rPr>
        <w:drawing>
          <wp:inline distT="0" distB="0" distL="0" distR="0" wp14:anchorId="699FA44C" wp14:editId="102BC081">
            <wp:extent cx="8229600" cy="3545840"/>
            <wp:effectExtent l="0" t="0" r="0" b="0"/>
            <wp:docPr id="63929615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229600" cy="3545840"/>
                    </a:xfrm>
                    <a:prstGeom prst="rect">
                      <a:avLst/>
                    </a:prstGeom>
                    <a:noFill/>
                    <a:ln>
                      <a:noFill/>
                    </a:ln>
                  </pic:spPr>
                </pic:pic>
              </a:graphicData>
            </a:graphic>
          </wp:inline>
        </w:drawing>
      </w:r>
    </w:p>
    <w:p w14:paraId="629FBE01" w14:textId="338804FC" w:rsidR="005E2BE9" w:rsidRDefault="005E2BE9" w:rsidP="00B21D6F">
      <w:pPr>
        <w:pStyle w:val="BodyTextIndent"/>
        <w:spacing w:line="360" w:lineRule="auto"/>
        <w:ind w:left="0"/>
        <w:rPr>
          <w:noProof/>
        </w:rPr>
      </w:pPr>
    </w:p>
    <w:p w14:paraId="625E4711" w14:textId="44F97021" w:rsidR="00E1223B" w:rsidRDefault="00E1223B" w:rsidP="00B21D6F">
      <w:pPr>
        <w:pStyle w:val="BodyTextIndent"/>
        <w:spacing w:line="360" w:lineRule="auto"/>
        <w:ind w:left="0"/>
        <w:rPr>
          <w:noProof/>
        </w:rPr>
      </w:pPr>
    </w:p>
    <w:p w14:paraId="7AEEA53A" w14:textId="51726268" w:rsidR="003E1B33" w:rsidRDefault="0007361E" w:rsidP="003C7FC9">
      <w:pPr>
        <w:pStyle w:val="BodyTextIndent"/>
        <w:spacing w:line="360" w:lineRule="auto"/>
        <w:ind w:left="0"/>
        <w:jc w:val="left"/>
      </w:pPr>
      <w:r w:rsidRPr="0007361E">
        <w:t xml:space="preserve"> </w:t>
      </w:r>
      <w:r w:rsidR="001A370B">
        <w:br w:type="page"/>
      </w:r>
      <w:r w:rsidR="003E1B33">
        <w:rPr>
          <w:b/>
        </w:rPr>
        <w:lastRenderedPageBreak/>
        <w:t xml:space="preserve">Attachment 5.1.1-3: GWh/BBtu Sales by End Use – </w:t>
      </w:r>
      <w:r w:rsidR="003D431A">
        <w:rPr>
          <w:b/>
        </w:rPr>
        <w:t xml:space="preserve">Residential </w:t>
      </w:r>
      <w:r w:rsidR="003E1B33">
        <w:rPr>
          <w:b/>
        </w:rPr>
        <w:t>Single Family (cont’d)</w:t>
      </w:r>
    </w:p>
    <w:p w14:paraId="30458FD7" w14:textId="77777777" w:rsidR="003E1B33" w:rsidRDefault="003E1B33" w:rsidP="003E1B33">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4D1E5D">
        <w:rPr>
          <w:b/>
        </w:rPr>
        <w:t>U</w:t>
      </w:r>
      <w:r>
        <w:rPr>
          <w:b/>
        </w:rPr>
        <w:t>nadjusted</w:t>
      </w:r>
    </w:p>
    <w:p w14:paraId="3B7147C7" w14:textId="5D2CDBE0" w:rsidR="00E1223B" w:rsidRDefault="003E1B33" w:rsidP="00B21D6F">
      <w:pPr>
        <w:spacing w:after="200" w:line="276" w:lineRule="auto"/>
      </w:pPr>
      <w:r>
        <w:t xml:space="preserve">Budget </w:t>
      </w:r>
      <w:r w:rsidR="00803701">
        <w:t>2025</w:t>
      </w:r>
    </w:p>
    <w:p w14:paraId="4CEF1604" w14:textId="1D210D02" w:rsidR="005E2BE9" w:rsidRDefault="00550FA1" w:rsidP="005E2BE9">
      <w:pPr>
        <w:spacing w:line="276" w:lineRule="auto"/>
        <w:rPr>
          <w:noProof/>
        </w:rPr>
      </w:pPr>
      <w:r w:rsidRPr="00550FA1">
        <w:rPr>
          <w:noProof/>
        </w:rPr>
        <w:drawing>
          <wp:inline distT="0" distB="0" distL="0" distR="0" wp14:anchorId="11D36544" wp14:editId="0AE55A6C">
            <wp:extent cx="8229600" cy="2990850"/>
            <wp:effectExtent l="0" t="0" r="0" b="0"/>
            <wp:docPr id="91769339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8229600" cy="2990850"/>
                    </a:xfrm>
                    <a:prstGeom prst="rect">
                      <a:avLst/>
                    </a:prstGeom>
                    <a:noFill/>
                    <a:ln>
                      <a:noFill/>
                    </a:ln>
                  </pic:spPr>
                </pic:pic>
              </a:graphicData>
            </a:graphic>
          </wp:inline>
        </w:drawing>
      </w:r>
    </w:p>
    <w:p w14:paraId="2E69D7AA" w14:textId="77777777" w:rsidR="00803701" w:rsidRDefault="00803701" w:rsidP="005E2BE9">
      <w:pPr>
        <w:spacing w:line="276" w:lineRule="auto"/>
        <w:rPr>
          <w:noProof/>
        </w:rPr>
      </w:pPr>
    </w:p>
    <w:p w14:paraId="4A939F45" w14:textId="3FAA28C3" w:rsidR="005E2BE9" w:rsidRDefault="005E2BE9" w:rsidP="00B21D6F">
      <w:pPr>
        <w:spacing w:after="200" w:line="276" w:lineRule="auto"/>
        <w:rPr>
          <w:noProof/>
        </w:rPr>
      </w:pPr>
    </w:p>
    <w:p w14:paraId="1DE1C29B" w14:textId="19F4841C" w:rsidR="003E1B33" w:rsidRDefault="003E1B33" w:rsidP="00B21D6F">
      <w:pPr>
        <w:spacing w:after="200" w:line="276" w:lineRule="auto"/>
      </w:pPr>
    </w:p>
    <w:p w14:paraId="78F36EF9" w14:textId="77777777" w:rsidR="003E1B33" w:rsidRDefault="003E1B33">
      <w:pPr>
        <w:spacing w:after="200" w:line="276" w:lineRule="auto"/>
        <w:jc w:val="left"/>
      </w:pPr>
      <w:r>
        <w:br w:type="page"/>
      </w:r>
    </w:p>
    <w:p w14:paraId="2DF54F47" w14:textId="3E82AC57" w:rsidR="003E1B33" w:rsidRDefault="003E1B33" w:rsidP="003E1B33">
      <w:pPr>
        <w:pStyle w:val="BodyTextIndent"/>
        <w:spacing w:line="360" w:lineRule="auto"/>
        <w:ind w:left="0"/>
        <w:jc w:val="left"/>
      </w:pPr>
      <w:r>
        <w:rPr>
          <w:b/>
        </w:rPr>
        <w:lastRenderedPageBreak/>
        <w:t xml:space="preserve">Attachment 5.1.1-3: GWh/BBtu Sales by End Use – </w:t>
      </w:r>
      <w:r w:rsidR="003D431A">
        <w:rPr>
          <w:b/>
        </w:rPr>
        <w:t xml:space="preserve">Residential </w:t>
      </w:r>
      <w:r>
        <w:rPr>
          <w:b/>
        </w:rPr>
        <w:t>Single Family (cont’d)</w:t>
      </w:r>
    </w:p>
    <w:p w14:paraId="36EF2458" w14:textId="77777777" w:rsidR="003E1B33" w:rsidRDefault="005078FC" w:rsidP="003E1B33">
      <w:pPr>
        <w:pStyle w:val="BodyTextIndent"/>
        <w:spacing w:after="0"/>
        <w:ind w:left="0"/>
        <w:rPr>
          <w:b/>
        </w:rPr>
      </w:pPr>
      <w:r>
        <w:rPr>
          <w:b/>
        </w:rPr>
        <w:t>Residential L</w:t>
      </w:r>
      <w:r w:rsidR="003E1B33">
        <w:rPr>
          <w:b/>
        </w:rPr>
        <w:t xml:space="preserve">ong-Term Forecast </w:t>
      </w:r>
      <w:r w:rsidR="002300F7">
        <w:rPr>
          <w:b/>
        </w:rPr>
        <w:t xml:space="preserve">(LoadMAP-R) </w:t>
      </w:r>
      <w:r w:rsidR="004D1E5D">
        <w:rPr>
          <w:b/>
        </w:rPr>
        <w:t>U</w:t>
      </w:r>
      <w:r w:rsidR="003E1B33">
        <w:rPr>
          <w:b/>
        </w:rPr>
        <w:t>nadjusted</w:t>
      </w:r>
    </w:p>
    <w:p w14:paraId="0F521DBC" w14:textId="42BFDA03" w:rsidR="003E1B33" w:rsidRDefault="003E1B33" w:rsidP="003E1B33">
      <w:pPr>
        <w:spacing w:after="200" w:line="276" w:lineRule="auto"/>
      </w:pPr>
      <w:r>
        <w:t xml:space="preserve">Budget </w:t>
      </w:r>
      <w:r w:rsidR="009C05AD">
        <w:t>2025</w:t>
      </w:r>
    </w:p>
    <w:p w14:paraId="377EA3BC" w14:textId="7152912B" w:rsidR="00E1223B" w:rsidRDefault="00016761" w:rsidP="005E2BE9">
      <w:pPr>
        <w:spacing w:line="276" w:lineRule="auto"/>
        <w:rPr>
          <w:noProof/>
        </w:rPr>
      </w:pPr>
      <w:r w:rsidRPr="00016761">
        <w:rPr>
          <w:noProof/>
        </w:rPr>
        <w:drawing>
          <wp:inline distT="0" distB="0" distL="0" distR="0" wp14:anchorId="09925253" wp14:editId="201C7125">
            <wp:extent cx="8229600" cy="4641215"/>
            <wp:effectExtent l="0" t="0" r="0" b="6985"/>
            <wp:docPr id="174898993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229600" cy="4641215"/>
                    </a:xfrm>
                    <a:prstGeom prst="rect">
                      <a:avLst/>
                    </a:prstGeom>
                    <a:noFill/>
                    <a:ln>
                      <a:noFill/>
                    </a:ln>
                  </pic:spPr>
                </pic:pic>
              </a:graphicData>
            </a:graphic>
          </wp:inline>
        </w:drawing>
      </w:r>
    </w:p>
    <w:p w14:paraId="5C4B8000" w14:textId="4A68A509" w:rsidR="0009393F" w:rsidRDefault="0007361E" w:rsidP="00B21D6F">
      <w:pPr>
        <w:spacing w:after="200" w:line="276" w:lineRule="auto"/>
      </w:pPr>
      <w:r w:rsidRPr="0007361E">
        <w:t xml:space="preserve"> </w:t>
      </w:r>
      <w:r w:rsidR="0009393F">
        <w:br w:type="page"/>
      </w:r>
    </w:p>
    <w:p w14:paraId="577A5D82" w14:textId="77777777" w:rsidR="00EA25E2" w:rsidRDefault="00EA25E2">
      <w:pPr>
        <w:spacing w:after="200" w:line="276" w:lineRule="auto"/>
        <w:jc w:val="left"/>
        <w:rPr>
          <w:b w:val="0"/>
        </w:rPr>
        <w:sectPr w:rsidR="00EA25E2" w:rsidSect="00EA25E2">
          <w:pgSz w:w="15840" w:h="12240" w:orient="landscape"/>
          <w:pgMar w:top="1440" w:right="1440" w:bottom="1440" w:left="1440" w:header="720" w:footer="720" w:gutter="0"/>
          <w:cols w:space="720"/>
          <w:docGrid w:linePitch="273"/>
        </w:sectPr>
      </w:pPr>
    </w:p>
    <w:p w14:paraId="69F8E1EC" w14:textId="70B36FFF" w:rsidR="00D47B54" w:rsidRDefault="00D47B54" w:rsidP="00D47B54">
      <w:pPr>
        <w:pStyle w:val="BodyTextIndent"/>
        <w:spacing w:line="360" w:lineRule="auto"/>
        <w:ind w:left="0"/>
        <w:jc w:val="left"/>
      </w:pPr>
      <w:r>
        <w:rPr>
          <w:b/>
        </w:rPr>
        <w:lastRenderedPageBreak/>
        <w:t xml:space="preserve">Attachment 5.1.1-3: GWh/BBtu Sales by End Use – </w:t>
      </w:r>
      <w:r w:rsidR="003D431A">
        <w:rPr>
          <w:b/>
        </w:rPr>
        <w:t xml:space="preserve">Residential </w:t>
      </w:r>
      <w:r>
        <w:rPr>
          <w:b/>
        </w:rPr>
        <w:t>Single Family (cont’d)</w:t>
      </w:r>
    </w:p>
    <w:p w14:paraId="0C000EA7" w14:textId="77777777" w:rsidR="00D47B54" w:rsidRDefault="00D47B54" w:rsidP="00D47B54">
      <w:pPr>
        <w:pStyle w:val="BodyTextIndent"/>
        <w:spacing w:after="0"/>
        <w:ind w:left="0"/>
        <w:rPr>
          <w:b/>
        </w:rPr>
      </w:pPr>
      <w:r>
        <w:rPr>
          <w:b/>
        </w:rPr>
        <w:t>Residential Long-Term Forecast (LoadMAP-R) Unadjusted</w:t>
      </w:r>
    </w:p>
    <w:p w14:paraId="11350536" w14:textId="309325FD" w:rsidR="00D47B54" w:rsidRDefault="00D47B54" w:rsidP="00120D3A">
      <w:pPr>
        <w:pStyle w:val="BodyTextIndent"/>
        <w:spacing w:line="360" w:lineRule="auto"/>
        <w:ind w:left="0"/>
        <w:rPr>
          <w:b/>
          <w:bCs/>
        </w:rPr>
      </w:pPr>
      <w:r w:rsidRPr="00D47B54">
        <w:rPr>
          <w:b/>
          <w:bCs/>
        </w:rPr>
        <w:t xml:space="preserve">Budget </w:t>
      </w:r>
      <w:r w:rsidR="009C05AD" w:rsidRPr="00D47B54">
        <w:rPr>
          <w:b/>
          <w:bCs/>
        </w:rPr>
        <w:t>20</w:t>
      </w:r>
      <w:r w:rsidR="009C05AD">
        <w:rPr>
          <w:b/>
          <w:bCs/>
        </w:rPr>
        <w:t>25</w:t>
      </w:r>
    </w:p>
    <w:p w14:paraId="36EF511E" w14:textId="4E375191" w:rsidR="005E2BE9" w:rsidRDefault="00BF4E96" w:rsidP="005E2BE9">
      <w:pPr>
        <w:pStyle w:val="BodyTextIndent"/>
        <w:spacing w:after="0" w:line="360" w:lineRule="auto"/>
        <w:ind w:left="0"/>
        <w:rPr>
          <w:b/>
          <w:bCs/>
        </w:rPr>
      </w:pPr>
      <w:r w:rsidRPr="00BF4E96">
        <w:rPr>
          <w:b/>
          <w:bCs/>
          <w:noProof/>
        </w:rPr>
        <w:drawing>
          <wp:inline distT="0" distB="0" distL="0" distR="0" wp14:anchorId="716CE8E8" wp14:editId="3CA0A96E">
            <wp:extent cx="7186930" cy="4809490"/>
            <wp:effectExtent l="0" t="0" r="0" b="0"/>
            <wp:docPr id="183315765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7186930" cy="4809490"/>
                    </a:xfrm>
                    <a:prstGeom prst="rect">
                      <a:avLst/>
                    </a:prstGeom>
                    <a:noFill/>
                    <a:ln>
                      <a:noFill/>
                    </a:ln>
                  </pic:spPr>
                </pic:pic>
              </a:graphicData>
            </a:graphic>
          </wp:inline>
        </w:drawing>
      </w:r>
    </w:p>
    <w:p w14:paraId="5B84679B" w14:textId="77777777" w:rsidR="009C05AD" w:rsidRDefault="009C05AD">
      <w:pPr>
        <w:spacing w:after="200" w:line="276" w:lineRule="auto"/>
        <w:jc w:val="left"/>
      </w:pPr>
      <w:r>
        <w:rPr>
          <w:b w:val="0"/>
        </w:rPr>
        <w:br w:type="page"/>
      </w:r>
    </w:p>
    <w:p w14:paraId="0C623872" w14:textId="337B70DC" w:rsidR="00BC0F80" w:rsidRDefault="00BC0F80" w:rsidP="00BC0F80">
      <w:pPr>
        <w:pStyle w:val="BodyTextIndent"/>
        <w:spacing w:line="360" w:lineRule="auto"/>
        <w:ind w:left="0"/>
        <w:jc w:val="left"/>
      </w:pPr>
      <w:r>
        <w:rPr>
          <w:b/>
        </w:rPr>
        <w:lastRenderedPageBreak/>
        <w:t xml:space="preserve">Attachment 5.1.1-4: GWh/BBtu Sales by End Use – </w:t>
      </w:r>
      <w:r w:rsidR="003D431A">
        <w:rPr>
          <w:b/>
        </w:rPr>
        <w:t xml:space="preserve">Residential </w:t>
      </w:r>
      <w:r>
        <w:rPr>
          <w:b/>
        </w:rPr>
        <w:t>Multi</w:t>
      </w:r>
      <w:r w:rsidR="00187DAC">
        <w:rPr>
          <w:b/>
        </w:rPr>
        <w:t>-</w:t>
      </w:r>
      <w:r>
        <w:rPr>
          <w:b/>
        </w:rPr>
        <w:t>Family</w:t>
      </w:r>
    </w:p>
    <w:p w14:paraId="2F1C1654" w14:textId="77777777" w:rsidR="003E1B33" w:rsidRDefault="003E1B33" w:rsidP="003E1B33">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4D1E5D">
        <w:rPr>
          <w:b/>
        </w:rPr>
        <w:t>U</w:t>
      </w:r>
      <w:r>
        <w:rPr>
          <w:b/>
        </w:rPr>
        <w:t>nadjusted</w:t>
      </w:r>
    </w:p>
    <w:p w14:paraId="63914EBC" w14:textId="6E1BD758" w:rsidR="003E1B33" w:rsidRDefault="003E1B33" w:rsidP="005E2BE9">
      <w:pPr>
        <w:spacing w:line="276" w:lineRule="auto"/>
      </w:pPr>
      <w:r>
        <w:t xml:space="preserve">Budget </w:t>
      </w:r>
      <w:r w:rsidR="00542DA8">
        <w:t>2025</w:t>
      </w:r>
    </w:p>
    <w:p w14:paraId="0BA79E2F" w14:textId="77777777" w:rsidR="005E2BE9" w:rsidRDefault="005E2BE9" w:rsidP="005E2BE9">
      <w:pPr>
        <w:spacing w:line="276" w:lineRule="auto"/>
      </w:pPr>
    </w:p>
    <w:p w14:paraId="2E80E527" w14:textId="0F2E3964" w:rsidR="005E2BE9" w:rsidRDefault="004760AA" w:rsidP="005E2BE9">
      <w:pPr>
        <w:spacing w:line="276" w:lineRule="auto"/>
      </w:pPr>
      <w:r w:rsidRPr="004760AA">
        <w:rPr>
          <w:noProof/>
        </w:rPr>
        <w:drawing>
          <wp:inline distT="0" distB="0" distL="0" distR="0" wp14:anchorId="6D49DA7C" wp14:editId="1C809858">
            <wp:extent cx="8229600" cy="3672205"/>
            <wp:effectExtent l="0" t="0" r="0" b="4445"/>
            <wp:docPr id="64811033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8229600" cy="3672205"/>
                    </a:xfrm>
                    <a:prstGeom prst="rect">
                      <a:avLst/>
                    </a:prstGeom>
                    <a:noFill/>
                    <a:ln>
                      <a:noFill/>
                    </a:ln>
                  </pic:spPr>
                </pic:pic>
              </a:graphicData>
            </a:graphic>
          </wp:inline>
        </w:drawing>
      </w:r>
    </w:p>
    <w:p w14:paraId="51BBA499" w14:textId="77777777" w:rsidR="00542DA8" w:rsidRDefault="00542DA8" w:rsidP="00C72F53">
      <w:pPr>
        <w:pStyle w:val="BodyTextIndent"/>
        <w:spacing w:line="360" w:lineRule="auto"/>
        <w:ind w:left="0"/>
        <w:rPr>
          <w:noProof/>
        </w:rPr>
      </w:pPr>
    </w:p>
    <w:p w14:paraId="3A9A1C4E" w14:textId="7D180A13" w:rsidR="00E1223B" w:rsidRDefault="00E1223B" w:rsidP="00C72F53">
      <w:pPr>
        <w:pStyle w:val="BodyTextIndent"/>
        <w:spacing w:line="360" w:lineRule="auto"/>
        <w:ind w:left="0"/>
        <w:rPr>
          <w:noProof/>
        </w:rPr>
      </w:pPr>
    </w:p>
    <w:p w14:paraId="5886614E" w14:textId="6C39867F" w:rsidR="003E1B33" w:rsidRDefault="003E1B33" w:rsidP="00120D3A">
      <w:pPr>
        <w:pStyle w:val="BodyTextIndent"/>
        <w:spacing w:line="360" w:lineRule="auto"/>
        <w:ind w:left="0"/>
        <w:jc w:val="left"/>
      </w:pPr>
      <w:r>
        <w:br w:type="page"/>
      </w:r>
      <w:r>
        <w:rPr>
          <w:b/>
        </w:rPr>
        <w:lastRenderedPageBreak/>
        <w:t xml:space="preserve">Attachment 5.1.1-4: GWh/BBtu Sales by End Use – </w:t>
      </w:r>
      <w:r w:rsidR="003D431A">
        <w:rPr>
          <w:b/>
        </w:rPr>
        <w:t xml:space="preserve">Residential </w:t>
      </w:r>
      <w:r>
        <w:rPr>
          <w:b/>
        </w:rPr>
        <w:t>Multi</w:t>
      </w:r>
      <w:r w:rsidR="00452D0D">
        <w:rPr>
          <w:b/>
        </w:rPr>
        <w:t>-</w:t>
      </w:r>
      <w:r>
        <w:rPr>
          <w:b/>
        </w:rPr>
        <w:t>Family (cont’d)</w:t>
      </w:r>
    </w:p>
    <w:p w14:paraId="364FD377" w14:textId="77777777" w:rsidR="003E1B33" w:rsidRDefault="003E1B33" w:rsidP="003E1B33">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4D1E5D">
        <w:rPr>
          <w:b/>
        </w:rPr>
        <w:t>U</w:t>
      </w:r>
      <w:r>
        <w:rPr>
          <w:b/>
        </w:rPr>
        <w:t>nadjusted</w:t>
      </w:r>
    </w:p>
    <w:p w14:paraId="2F7045D0" w14:textId="68DA2457" w:rsidR="003E1B33" w:rsidRDefault="003E1B33" w:rsidP="003E1B33">
      <w:pPr>
        <w:spacing w:after="200" w:line="276" w:lineRule="auto"/>
      </w:pPr>
      <w:r>
        <w:t xml:space="preserve">Budget </w:t>
      </w:r>
      <w:r w:rsidR="00560380">
        <w:t>2025</w:t>
      </w:r>
    </w:p>
    <w:p w14:paraId="3047F2AB" w14:textId="11F17628" w:rsidR="005E2BE9" w:rsidRDefault="00117E0F" w:rsidP="003E1B33">
      <w:pPr>
        <w:spacing w:after="200" w:line="276" w:lineRule="auto"/>
      </w:pPr>
      <w:r w:rsidRPr="00117E0F">
        <w:rPr>
          <w:noProof/>
        </w:rPr>
        <w:drawing>
          <wp:inline distT="0" distB="0" distL="0" distR="0" wp14:anchorId="777F8C03" wp14:editId="0DC3E145">
            <wp:extent cx="8229600" cy="3042920"/>
            <wp:effectExtent l="0" t="0" r="0" b="5080"/>
            <wp:docPr id="83992249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229600" cy="3042920"/>
                    </a:xfrm>
                    <a:prstGeom prst="rect">
                      <a:avLst/>
                    </a:prstGeom>
                    <a:noFill/>
                    <a:ln>
                      <a:noFill/>
                    </a:ln>
                  </pic:spPr>
                </pic:pic>
              </a:graphicData>
            </a:graphic>
          </wp:inline>
        </w:drawing>
      </w:r>
    </w:p>
    <w:p w14:paraId="518E3BE8" w14:textId="5E92F86D" w:rsidR="00120D3A" w:rsidRDefault="00120D3A" w:rsidP="00B21D6F">
      <w:pPr>
        <w:spacing w:after="200" w:line="276" w:lineRule="auto"/>
        <w:rPr>
          <w:b w:val="0"/>
          <w:noProof/>
        </w:rPr>
      </w:pPr>
    </w:p>
    <w:p w14:paraId="5495B1AB" w14:textId="189BC8C4" w:rsidR="00E1223B" w:rsidRDefault="00E1223B" w:rsidP="00B21D6F">
      <w:pPr>
        <w:spacing w:after="200" w:line="276" w:lineRule="auto"/>
        <w:rPr>
          <w:b w:val="0"/>
          <w:noProof/>
        </w:rPr>
      </w:pPr>
    </w:p>
    <w:p w14:paraId="0132FE47" w14:textId="79A90FC9" w:rsidR="003E1B33" w:rsidRDefault="003E1B33" w:rsidP="00B21D6F">
      <w:pPr>
        <w:spacing w:after="200" w:line="276" w:lineRule="auto"/>
        <w:rPr>
          <w:b w:val="0"/>
        </w:rPr>
      </w:pPr>
    </w:p>
    <w:p w14:paraId="1C51A8BC" w14:textId="77777777" w:rsidR="003E1B33" w:rsidRDefault="003E1B33">
      <w:pPr>
        <w:spacing w:after="200" w:line="276" w:lineRule="auto"/>
        <w:jc w:val="left"/>
        <w:rPr>
          <w:b w:val="0"/>
        </w:rPr>
      </w:pPr>
      <w:r>
        <w:br w:type="page"/>
      </w:r>
    </w:p>
    <w:p w14:paraId="03C2FDF5" w14:textId="136E299A" w:rsidR="003E1B33" w:rsidRDefault="003E1B33" w:rsidP="003E1B33">
      <w:pPr>
        <w:pStyle w:val="BodyTextIndent"/>
        <w:spacing w:line="360" w:lineRule="auto"/>
        <w:ind w:left="0"/>
        <w:jc w:val="left"/>
      </w:pPr>
      <w:r>
        <w:rPr>
          <w:b/>
        </w:rPr>
        <w:lastRenderedPageBreak/>
        <w:t xml:space="preserve">Attachment 5.1.1-4: GWh/BBtu Sales by End Use – </w:t>
      </w:r>
      <w:r w:rsidR="003D431A">
        <w:rPr>
          <w:b/>
        </w:rPr>
        <w:t xml:space="preserve">Residential </w:t>
      </w:r>
      <w:r w:rsidR="00452D0D">
        <w:rPr>
          <w:b/>
        </w:rPr>
        <w:t>Multi-</w:t>
      </w:r>
      <w:r>
        <w:rPr>
          <w:b/>
        </w:rPr>
        <w:t>Family (cont’d)</w:t>
      </w:r>
    </w:p>
    <w:p w14:paraId="6A954DD2" w14:textId="77777777" w:rsidR="003E1B33" w:rsidRDefault="003E1B33" w:rsidP="003E1B33">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65117D">
        <w:rPr>
          <w:b/>
        </w:rPr>
        <w:t>U</w:t>
      </w:r>
      <w:r>
        <w:rPr>
          <w:b/>
        </w:rPr>
        <w:t>nadjusted</w:t>
      </w:r>
    </w:p>
    <w:p w14:paraId="7CD7611E" w14:textId="140CA9E6" w:rsidR="003E1B33" w:rsidRDefault="003E1B33" w:rsidP="00ED5C37">
      <w:pPr>
        <w:spacing w:line="276" w:lineRule="auto"/>
      </w:pPr>
      <w:r>
        <w:t xml:space="preserve">Budget </w:t>
      </w:r>
      <w:r w:rsidR="00DC4D8E">
        <w:t>2025</w:t>
      </w:r>
    </w:p>
    <w:p w14:paraId="12C454C9" w14:textId="77777777" w:rsidR="005E2BE9" w:rsidRDefault="005E2BE9" w:rsidP="00D134ED">
      <w:pPr>
        <w:spacing w:line="276" w:lineRule="auto"/>
      </w:pPr>
    </w:p>
    <w:p w14:paraId="2B0A7464" w14:textId="0B3C0392" w:rsidR="005E2BE9" w:rsidRDefault="00192ADD" w:rsidP="00D134ED">
      <w:pPr>
        <w:spacing w:line="276" w:lineRule="auto"/>
      </w:pPr>
      <w:r w:rsidRPr="00192ADD">
        <w:rPr>
          <w:noProof/>
        </w:rPr>
        <w:drawing>
          <wp:inline distT="0" distB="0" distL="0" distR="0" wp14:anchorId="4A3FEF9C" wp14:editId="1F27B9E1">
            <wp:extent cx="8229600" cy="4499610"/>
            <wp:effectExtent l="0" t="0" r="0" b="0"/>
            <wp:docPr id="159347870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8229600" cy="4499610"/>
                    </a:xfrm>
                    <a:prstGeom prst="rect">
                      <a:avLst/>
                    </a:prstGeom>
                    <a:noFill/>
                    <a:ln>
                      <a:noFill/>
                    </a:ln>
                  </pic:spPr>
                </pic:pic>
              </a:graphicData>
            </a:graphic>
          </wp:inline>
        </w:drawing>
      </w:r>
    </w:p>
    <w:p w14:paraId="7F3746A3" w14:textId="77777777" w:rsidR="00560380" w:rsidRDefault="00560380" w:rsidP="00D134ED">
      <w:pPr>
        <w:spacing w:line="276" w:lineRule="auto"/>
      </w:pPr>
    </w:p>
    <w:p w14:paraId="6DB5ACBD" w14:textId="24EF066F" w:rsidR="003E1B33" w:rsidRDefault="003E1B33" w:rsidP="00B21D6F">
      <w:pPr>
        <w:spacing w:after="200" w:line="276" w:lineRule="auto"/>
        <w:rPr>
          <w:b w:val="0"/>
        </w:rPr>
      </w:pPr>
      <w:r>
        <w:br w:type="page"/>
      </w:r>
    </w:p>
    <w:p w14:paraId="6DB0BDC7" w14:textId="77777777" w:rsidR="00455968" w:rsidRDefault="00455968" w:rsidP="00BC0F80">
      <w:pPr>
        <w:pStyle w:val="BodyTextIndent"/>
        <w:spacing w:line="360" w:lineRule="auto"/>
        <w:ind w:left="0"/>
        <w:jc w:val="left"/>
        <w:sectPr w:rsidR="00455968" w:rsidSect="00455968">
          <w:pgSz w:w="15840" w:h="12240" w:orient="landscape"/>
          <w:pgMar w:top="1440" w:right="1440" w:bottom="1440" w:left="1440" w:header="720" w:footer="720" w:gutter="0"/>
          <w:cols w:space="720"/>
          <w:docGrid w:linePitch="273"/>
        </w:sectPr>
      </w:pPr>
    </w:p>
    <w:p w14:paraId="387A4AB4" w14:textId="6260583A" w:rsidR="00120D3A" w:rsidRDefault="00120D3A" w:rsidP="00120D3A">
      <w:pPr>
        <w:pStyle w:val="BodyTextIndent"/>
        <w:spacing w:line="360" w:lineRule="auto"/>
        <w:ind w:left="0"/>
        <w:jc w:val="left"/>
      </w:pPr>
      <w:r>
        <w:rPr>
          <w:b/>
        </w:rPr>
        <w:lastRenderedPageBreak/>
        <w:t xml:space="preserve">Attachment 5.1.1-4: GWh/BBtu Sales by End Use – </w:t>
      </w:r>
      <w:r w:rsidR="003D431A">
        <w:rPr>
          <w:b/>
        </w:rPr>
        <w:t xml:space="preserve">Residential </w:t>
      </w:r>
      <w:r w:rsidR="00452D0D">
        <w:rPr>
          <w:b/>
        </w:rPr>
        <w:t>Multi-</w:t>
      </w:r>
      <w:r>
        <w:rPr>
          <w:b/>
        </w:rPr>
        <w:t>Family (cont’d)</w:t>
      </w:r>
    </w:p>
    <w:p w14:paraId="4690B382" w14:textId="77777777" w:rsidR="00120D3A" w:rsidRDefault="00120D3A" w:rsidP="00120D3A">
      <w:pPr>
        <w:pStyle w:val="BodyTextIndent"/>
        <w:spacing w:after="0"/>
        <w:ind w:left="0"/>
        <w:rPr>
          <w:b/>
        </w:rPr>
      </w:pPr>
      <w:r>
        <w:rPr>
          <w:b/>
        </w:rPr>
        <w:t>Residential Long-Term Forecast (LoadMAP-R) Unadjusted</w:t>
      </w:r>
    </w:p>
    <w:p w14:paraId="38434D15" w14:textId="496A109C" w:rsidR="00120D3A" w:rsidRDefault="00120D3A" w:rsidP="00D134ED">
      <w:pPr>
        <w:spacing w:line="276" w:lineRule="auto"/>
      </w:pPr>
      <w:r>
        <w:t xml:space="preserve">Budget </w:t>
      </w:r>
      <w:r w:rsidR="003311DC">
        <w:t>2025</w:t>
      </w:r>
    </w:p>
    <w:p w14:paraId="1A38EE64" w14:textId="77777777" w:rsidR="00D134ED" w:rsidRDefault="00D134ED" w:rsidP="00D134ED">
      <w:pPr>
        <w:spacing w:line="276" w:lineRule="auto"/>
      </w:pPr>
    </w:p>
    <w:p w14:paraId="7247BD91" w14:textId="568921B9" w:rsidR="00D134ED" w:rsidRDefault="002B3387" w:rsidP="00D134ED">
      <w:pPr>
        <w:spacing w:line="276" w:lineRule="auto"/>
      </w:pPr>
      <w:r w:rsidRPr="002B3387">
        <w:rPr>
          <w:noProof/>
        </w:rPr>
        <w:drawing>
          <wp:inline distT="0" distB="0" distL="0" distR="0" wp14:anchorId="290F1BC0" wp14:editId="6662F6C5">
            <wp:extent cx="7108190" cy="4809490"/>
            <wp:effectExtent l="0" t="0" r="0" b="0"/>
            <wp:docPr id="206409507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108190" cy="4809490"/>
                    </a:xfrm>
                    <a:prstGeom prst="rect">
                      <a:avLst/>
                    </a:prstGeom>
                    <a:noFill/>
                    <a:ln>
                      <a:noFill/>
                    </a:ln>
                  </pic:spPr>
                </pic:pic>
              </a:graphicData>
            </a:graphic>
          </wp:inline>
        </w:drawing>
      </w:r>
    </w:p>
    <w:p w14:paraId="43AD5EDF" w14:textId="77777777" w:rsidR="00AF078B" w:rsidRDefault="00AF078B">
      <w:pPr>
        <w:spacing w:after="200" w:line="276" w:lineRule="auto"/>
        <w:jc w:val="left"/>
      </w:pPr>
      <w:r>
        <w:rPr>
          <w:b w:val="0"/>
        </w:rPr>
        <w:br w:type="page"/>
      </w:r>
    </w:p>
    <w:p w14:paraId="306D6385" w14:textId="0115FD91" w:rsidR="00BC0F80" w:rsidRDefault="00BC0F80" w:rsidP="00BC0F80">
      <w:pPr>
        <w:pStyle w:val="BodyTextIndent"/>
        <w:spacing w:line="360" w:lineRule="auto"/>
        <w:ind w:left="0"/>
        <w:jc w:val="left"/>
      </w:pPr>
      <w:r>
        <w:rPr>
          <w:b/>
        </w:rPr>
        <w:lastRenderedPageBreak/>
        <w:t xml:space="preserve">Attachment 5.1.1-5: GWh/BBtu Sales by End Use – </w:t>
      </w:r>
      <w:r w:rsidR="003D431A">
        <w:rPr>
          <w:b/>
        </w:rPr>
        <w:t xml:space="preserve">Residential </w:t>
      </w:r>
      <w:r>
        <w:rPr>
          <w:b/>
        </w:rPr>
        <w:t>Manufactured Home</w:t>
      </w:r>
    </w:p>
    <w:p w14:paraId="6F8FB244" w14:textId="77777777" w:rsidR="001467C2" w:rsidRDefault="001467C2" w:rsidP="001467C2">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65117D">
        <w:rPr>
          <w:b/>
        </w:rPr>
        <w:t>U</w:t>
      </w:r>
      <w:r>
        <w:rPr>
          <w:b/>
        </w:rPr>
        <w:t>nadjusted</w:t>
      </w:r>
    </w:p>
    <w:p w14:paraId="76B6C972" w14:textId="1648289C" w:rsidR="001467C2" w:rsidRDefault="001467C2" w:rsidP="001467C2">
      <w:pPr>
        <w:spacing w:after="200" w:line="276" w:lineRule="auto"/>
      </w:pPr>
      <w:r>
        <w:t xml:space="preserve">Budget </w:t>
      </w:r>
      <w:r w:rsidR="00744694">
        <w:t>2025</w:t>
      </w:r>
    </w:p>
    <w:p w14:paraId="2ED72D05" w14:textId="1FECD5F6" w:rsidR="00D134ED" w:rsidRDefault="00F51967" w:rsidP="00D134ED">
      <w:pPr>
        <w:spacing w:line="276" w:lineRule="auto"/>
      </w:pPr>
      <w:r w:rsidRPr="00F51967">
        <w:rPr>
          <w:noProof/>
        </w:rPr>
        <w:drawing>
          <wp:inline distT="0" distB="0" distL="0" distR="0" wp14:anchorId="4940EF7D" wp14:editId="52F05198">
            <wp:extent cx="8229600" cy="3567430"/>
            <wp:effectExtent l="0" t="0" r="0" b="0"/>
            <wp:docPr id="158068524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229600" cy="3567430"/>
                    </a:xfrm>
                    <a:prstGeom prst="rect">
                      <a:avLst/>
                    </a:prstGeom>
                    <a:noFill/>
                    <a:ln>
                      <a:noFill/>
                    </a:ln>
                  </pic:spPr>
                </pic:pic>
              </a:graphicData>
            </a:graphic>
          </wp:inline>
        </w:drawing>
      </w:r>
    </w:p>
    <w:p w14:paraId="76B51322" w14:textId="77777777" w:rsidR="00744694" w:rsidRDefault="00744694" w:rsidP="00D134ED">
      <w:pPr>
        <w:spacing w:line="276" w:lineRule="auto"/>
      </w:pPr>
    </w:p>
    <w:p w14:paraId="5D3769A9" w14:textId="03304E64" w:rsidR="00E1223B" w:rsidRDefault="00E1223B" w:rsidP="00B21D6F">
      <w:pPr>
        <w:spacing w:after="200" w:line="276" w:lineRule="auto"/>
        <w:rPr>
          <w:noProof/>
        </w:rPr>
      </w:pPr>
    </w:p>
    <w:p w14:paraId="5D5B063C" w14:textId="210E4166" w:rsidR="001467C2" w:rsidRDefault="001467C2" w:rsidP="00B21D6F">
      <w:pPr>
        <w:spacing w:after="200" w:line="276" w:lineRule="auto"/>
        <w:rPr>
          <w:b w:val="0"/>
        </w:rPr>
      </w:pPr>
      <w:r>
        <w:br w:type="page"/>
      </w:r>
    </w:p>
    <w:p w14:paraId="080B1453" w14:textId="49627B2D" w:rsidR="001467C2" w:rsidRDefault="001467C2" w:rsidP="001467C2">
      <w:pPr>
        <w:pStyle w:val="BodyTextIndent"/>
        <w:spacing w:line="360" w:lineRule="auto"/>
        <w:ind w:left="0"/>
        <w:jc w:val="left"/>
      </w:pPr>
      <w:r>
        <w:rPr>
          <w:b/>
        </w:rPr>
        <w:lastRenderedPageBreak/>
        <w:t xml:space="preserve">Attachment 5.1.1-5: GWh/BBtu Sales by End Use – </w:t>
      </w:r>
      <w:r w:rsidR="003D431A">
        <w:rPr>
          <w:b/>
        </w:rPr>
        <w:t xml:space="preserve">Residential </w:t>
      </w:r>
      <w:r>
        <w:rPr>
          <w:b/>
        </w:rPr>
        <w:t>Manufactured Home (cont’d)</w:t>
      </w:r>
    </w:p>
    <w:p w14:paraId="2C17768A" w14:textId="77777777" w:rsidR="001467C2" w:rsidRDefault="005078FC" w:rsidP="001467C2">
      <w:pPr>
        <w:pStyle w:val="BodyTextIndent"/>
        <w:spacing w:after="0"/>
        <w:ind w:left="0"/>
        <w:rPr>
          <w:b/>
        </w:rPr>
      </w:pPr>
      <w:r>
        <w:rPr>
          <w:b/>
        </w:rPr>
        <w:t>Residential L</w:t>
      </w:r>
      <w:r w:rsidR="001467C2">
        <w:rPr>
          <w:b/>
        </w:rPr>
        <w:t>ong-Term Forecast</w:t>
      </w:r>
      <w:r w:rsidR="002300F7">
        <w:rPr>
          <w:b/>
        </w:rPr>
        <w:t xml:space="preserve"> (LoadMAP-R)</w:t>
      </w:r>
      <w:r w:rsidR="001467C2">
        <w:rPr>
          <w:b/>
        </w:rPr>
        <w:t xml:space="preserve"> </w:t>
      </w:r>
      <w:r w:rsidR="0065117D">
        <w:rPr>
          <w:b/>
        </w:rPr>
        <w:t>U</w:t>
      </w:r>
      <w:r w:rsidR="001467C2">
        <w:rPr>
          <w:b/>
        </w:rPr>
        <w:t>nadjusted</w:t>
      </w:r>
    </w:p>
    <w:p w14:paraId="1B2B636D" w14:textId="0687FB4A" w:rsidR="001467C2" w:rsidRDefault="001467C2" w:rsidP="001467C2">
      <w:pPr>
        <w:spacing w:after="200" w:line="276" w:lineRule="auto"/>
      </w:pPr>
      <w:r>
        <w:t xml:space="preserve">Budget </w:t>
      </w:r>
      <w:r w:rsidR="00744694">
        <w:t>2025</w:t>
      </w:r>
    </w:p>
    <w:p w14:paraId="4D85949E" w14:textId="2177F914" w:rsidR="00D134ED" w:rsidRDefault="0031543F" w:rsidP="00D134ED">
      <w:pPr>
        <w:spacing w:line="276" w:lineRule="auto"/>
      </w:pPr>
      <w:r w:rsidRPr="0031543F">
        <w:rPr>
          <w:noProof/>
        </w:rPr>
        <w:drawing>
          <wp:inline distT="0" distB="0" distL="0" distR="0" wp14:anchorId="464277D2" wp14:editId="79BFC730">
            <wp:extent cx="8229600" cy="2999105"/>
            <wp:effectExtent l="0" t="0" r="0" b="0"/>
            <wp:docPr id="48197226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8229600" cy="2999105"/>
                    </a:xfrm>
                    <a:prstGeom prst="rect">
                      <a:avLst/>
                    </a:prstGeom>
                    <a:noFill/>
                    <a:ln>
                      <a:noFill/>
                    </a:ln>
                  </pic:spPr>
                </pic:pic>
              </a:graphicData>
            </a:graphic>
          </wp:inline>
        </w:drawing>
      </w:r>
    </w:p>
    <w:p w14:paraId="493A4E46" w14:textId="560EC5E8" w:rsidR="00E1223B" w:rsidRDefault="00E1223B" w:rsidP="00B21D6F">
      <w:pPr>
        <w:spacing w:after="200" w:line="276" w:lineRule="auto"/>
        <w:rPr>
          <w:noProof/>
        </w:rPr>
      </w:pPr>
    </w:p>
    <w:p w14:paraId="6A921786" w14:textId="730622DD" w:rsidR="001467C2" w:rsidRDefault="001467C2" w:rsidP="00B21D6F">
      <w:pPr>
        <w:spacing w:after="200" w:line="276" w:lineRule="auto"/>
        <w:rPr>
          <w:b w:val="0"/>
        </w:rPr>
      </w:pPr>
      <w:r>
        <w:br w:type="page"/>
      </w:r>
    </w:p>
    <w:p w14:paraId="019D6219" w14:textId="49A86F38" w:rsidR="001467C2" w:rsidRDefault="001467C2" w:rsidP="001467C2">
      <w:pPr>
        <w:pStyle w:val="BodyTextIndent"/>
        <w:spacing w:line="360" w:lineRule="auto"/>
        <w:ind w:left="0"/>
        <w:jc w:val="left"/>
      </w:pPr>
      <w:r>
        <w:rPr>
          <w:b/>
        </w:rPr>
        <w:lastRenderedPageBreak/>
        <w:t xml:space="preserve">Attachment 5.1.1-5: GWh/BBtu Sales by End Use – </w:t>
      </w:r>
      <w:r w:rsidR="003D431A">
        <w:rPr>
          <w:b/>
        </w:rPr>
        <w:t xml:space="preserve">Residential </w:t>
      </w:r>
      <w:r>
        <w:rPr>
          <w:b/>
        </w:rPr>
        <w:t>Manufactured Home (cont’d)</w:t>
      </w:r>
    </w:p>
    <w:p w14:paraId="0DC91A93" w14:textId="77777777" w:rsidR="001467C2" w:rsidRDefault="001467C2" w:rsidP="001467C2">
      <w:pPr>
        <w:pStyle w:val="BodyTextIndent"/>
        <w:spacing w:after="0"/>
        <w:ind w:left="0"/>
        <w:rPr>
          <w:b/>
        </w:rPr>
      </w:pPr>
      <w:r>
        <w:rPr>
          <w:b/>
        </w:rPr>
        <w:t xml:space="preserve">Residential </w:t>
      </w:r>
      <w:r w:rsidR="005078FC">
        <w:rPr>
          <w:b/>
        </w:rPr>
        <w:t>L</w:t>
      </w:r>
      <w:r>
        <w:rPr>
          <w:b/>
        </w:rPr>
        <w:t xml:space="preserve">ong-Term Forecast </w:t>
      </w:r>
      <w:r w:rsidR="002300F7">
        <w:rPr>
          <w:b/>
        </w:rPr>
        <w:t xml:space="preserve">(LoadMAP-R) </w:t>
      </w:r>
      <w:r w:rsidR="0065117D">
        <w:rPr>
          <w:b/>
        </w:rPr>
        <w:t>U</w:t>
      </w:r>
      <w:r>
        <w:rPr>
          <w:b/>
        </w:rPr>
        <w:t>nadjusted</w:t>
      </w:r>
    </w:p>
    <w:p w14:paraId="770D236F" w14:textId="4301EE0F" w:rsidR="001467C2" w:rsidRDefault="001467C2" w:rsidP="00D134ED">
      <w:pPr>
        <w:spacing w:line="276" w:lineRule="auto"/>
      </w:pPr>
      <w:r>
        <w:t xml:space="preserve">Budget </w:t>
      </w:r>
      <w:r w:rsidR="002F2DED">
        <w:t>2025</w:t>
      </w:r>
    </w:p>
    <w:p w14:paraId="50BC6E7B" w14:textId="49AC7651" w:rsidR="00E1223B" w:rsidRDefault="00E1223B" w:rsidP="00B21D6F">
      <w:pPr>
        <w:spacing w:after="200" w:line="276" w:lineRule="auto"/>
        <w:rPr>
          <w:noProof/>
        </w:rPr>
      </w:pPr>
    </w:p>
    <w:p w14:paraId="662CAD94" w14:textId="16717EC0" w:rsidR="002F2DED" w:rsidRDefault="00CF3610" w:rsidP="00B21D6F">
      <w:pPr>
        <w:spacing w:after="200" w:line="276" w:lineRule="auto"/>
      </w:pPr>
      <w:r w:rsidRPr="00CF3610">
        <w:rPr>
          <w:noProof/>
        </w:rPr>
        <w:drawing>
          <wp:inline distT="0" distB="0" distL="0" distR="0" wp14:anchorId="3B016434" wp14:editId="06905610">
            <wp:extent cx="8229600" cy="4552950"/>
            <wp:effectExtent l="0" t="0" r="0" b="0"/>
            <wp:docPr id="118729768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8229600" cy="4552950"/>
                    </a:xfrm>
                    <a:prstGeom prst="rect">
                      <a:avLst/>
                    </a:prstGeom>
                    <a:noFill/>
                    <a:ln>
                      <a:noFill/>
                    </a:ln>
                  </pic:spPr>
                </pic:pic>
              </a:graphicData>
            </a:graphic>
          </wp:inline>
        </w:drawing>
      </w:r>
    </w:p>
    <w:p w14:paraId="4E156135" w14:textId="38D6CB8F" w:rsidR="001467C2" w:rsidRDefault="001467C2" w:rsidP="00B21D6F">
      <w:pPr>
        <w:spacing w:after="200" w:line="276" w:lineRule="auto"/>
        <w:rPr>
          <w:b w:val="0"/>
        </w:rPr>
      </w:pPr>
      <w:r>
        <w:br w:type="page"/>
      </w:r>
    </w:p>
    <w:p w14:paraId="253F0480" w14:textId="77777777" w:rsidR="001467C2" w:rsidRDefault="001467C2" w:rsidP="00BC0F80">
      <w:pPr>
        <w:pStyle w:val="BodyTextIndent"/>
        <w:spacing w:line="360" w:lineRule="auto"/>
        <w:ind w:left="0"/>
        <w:jc w:val="left"/>
        <w:sectPr w:rsidR="001467C2" w:rsidSect="001467C2">
          <w:pgSz w:w="15840" w:h="12240" w:orient="landscape"/>
          <w:pgMar w:top="1440" w:right="1440" w:bottom="1440" w:left="1440" w:header="720" w:footer="720" w:gutter="0"/>
          <w:cols w:space="720"/>
          <w:docGrid w:linePitch="273"/>
        </w:sectPr>
      </w:pPr>
    </w:p>
    <w:p w14:paraId="099A1E56" w14:textId="4F2C8414" w:rsidR="002560E8" w:rsidRDefault="002560E8" w:rsidP="002560E8">
      <w:pPr>
        <w:pStyle w:val="BodyTextIndent"/>
        <w:spacing w:line="360" w:lineRule="auto"/>
        <w:ind w:left="0"/>
        <w:jc w:val="left"/>
      </w:pPr>
      <w:r>
        <w:rPr>
          <w:b/>
        </w:rPr>
        <w:lastRenderedPageBreak/>
        <w:t xml:space="preserve">Attachment 5.1.1-5: GWh/BBtu Sales by End Use – </w:t>
      </w:r>
      <w:r w:rsidR="003D431A">
        <w:rPr>
          <w:b/>
        </w:rPr>
        <w:t xml:space="preserve">Residential </w:t>
      </w:r>
      <w:r>
        <w:rPr>
          <w:b/>
        </w:rPr>
        <w:t>Manufactured Home (cont’d)</w:t>
      </w:r>
    </w:p>
    <w:p w14:paraId="788A72D3" w14:textId="77777777" w:rsidR="002560E8" w:rsidRDefault="002560E8" w:rsidP="002560E8">
      <w:pPr>
        <w:pStyle w:val="BodyTextIndent"/>
        <w:spacing w:after="0"/>
        <w:ind w:left="0"/>
        <w:rPr>
          <w:b/>
        </w:rPr>
      </w:pPr>
      <w:r>
        <w:rPr>
          <w:b/>
        </w:rPr>
        <w:t>Residential Long-Term Forecast (LoadMAP-R) Unadjusted</w:t>
      </w:r>
    </w:p>
    <w:p w14:paraId="5DE23AC5" w14:textId="4F921B08" w:rsidR="002560E8" w:rsidRDefault="002560E8" w:rsidP="002560E8">
      <w:pPr>
        <w:spacing w:after="200" w:line="276" w:lineRule="auto"/>
      </w:pPr>
      <w:r>
        <w:t xml:space="preserve">Budget </w:t>
      </w:r>
      <w:r w:rsidR="002F2DED">
        <w:t>2025</w:t>
      </w:r>
    </w:p>
    <w:p w14:paraId="5D3BA352" w14:textId="4BDFDAF2" w:rsidR="00D134ED" w:rsidRDefault="003104C8" w:rsidP="00D134ED">
      <w:pPr>
        <w:spacing w:line="276" w:lineRule="auto"/>
      </w:pPr>
      <w:r w:rsidRPr="003104C8">
        <w:rPr>
          <w:noProof/>
        </w:rPr>
        <w:drawing>
          <wp:inline distT="0" distB="0" distL="0" distR="0" wp14:anchorId="5298B2F3" wp14:editId="0A9A6AB4">
            <wp:extent cx="7108190" cy="4809490"/>
            <wp:effectExtent l="0" t="0" r="0" b="0"/>
            <wp:docPr id="168186799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108190" cy="4809490"/>
                    </a:xfrm>
                    <a:prstGeom prst="rect">
                      <a:avLst/>
                    </a:prstGeom>
                    <a:noFill/>
                    <a:ln>
                      <a:noFill/>
                    </a:ln>
                  </pic:spPr>
                </pic:pic>
              </a:graphicData>
            </a:graphic>
          </wp:inline>
        </w:drawing>
      </w:r>
    </w:p>
    <w:p w14:paraId="0A4EB199" w14:textId="77777777" w:rsidR="002F2DED" w:rsidRDefault="002F2DED" w:rsidP="00D134ED">
      <w:pPr>
        <w:spacing w:line="276" w:lineRule="auto"/>
      </w:pPr>
    </w:p>
    <w:p w14:paraId="21344F60" w14:textId="2B4A524E" w:rsidR="002560E8" w:rsidRDefault="002560E8" w:rsidP="002560E8">
      <w:pPr>
        <w:spacing w:after="200" w:line="276" w:lineRule="auto"/>
      </w:pPr>
      <w:r>
        <w:rPr>
          <w:b w:val="0"/>
        </w:rPr>
        <w:br w:type="page"/>
      </w:r>
    </w:p>
    <w:p w14:paraId="7D9C5898" w14:textId="7FE577DD" w:rsidR="00850F01" w:rsidRDefault="00850F01" w:rsidP="00850F01">
      <w:pPr>
        <w:pStyle w:val="BodyTextIndent"/>
        <w:spacing w:line="360" w:lineRule="auto"/>
        <w:ind w:left="0"/>
        <w:jc w:val="left"/>
      </w:pPr>
      <w:r>
        <w:rPr>
          <w:b/>
        </w:rPr>
        <w:lastRenderedPageBreak/>
        <w:t>Attachment 5.1.1-6: GWh/BBtu Sales by Fuel</w:t>
      </w:r>
    </w:p>
    <w:p w14:paraId="71FFC4F7" w14:textId="77777777" w:rsidR="005078FC" w:rsidRDefault="005078FC" w:rsidP="005078FC">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7C341A68" w14:textId="0B54B745" w:rsidR="005078FC" w:rsidRDefault="005078FC" w:rsidP="005078FC">
      <w:pPr>
        <w:spacing w:after="200" w:line="276" w:lineRule="auto"/>
      </w:pPr>
      <w:r>
        <w:t xml:space="preserve">Budget </w:t>
      </w:r>
      <w:r w:rsidR="003311DC">
        <w:t>2025</w:t>
      </w:r>
    </w:p>
    <w:p w14:paraId="45D4D586" w14:textId="77777777" w:rsidR="005D1B88" w:rsidRDefault="005D1B88" w:rsidP="005D1B88">
      <w:pPr>
        <w:spacing w:line="276" w:lineRule="auto"/>
      </w:pPr>
    </w:p>
    <w:p w14:paraId="3F38F40E" w14:textId="5EE06EAA" w:rsidR="003311DC" w:rsidRDefault="003311DC" w:rsidP="005078FC">
      <w:pPr>
        <w:spacing w:after="200" w:line="276" w:lineRule="auto"/>
        <w:rPr>
          <w:noProof/>
        </w:rPr>
      </w:pPr>
      <w:r w:rsidRPr="003311DC">
        <w:rPr>
          <w:noProof/>
        </w:rPr>
        <w:drawing>
          <wp:inline distT="0" distB="0" distL="0" distR="0" wp14:anchorId="21F17458" wp14:editId="48682857">
            <wp:extent cx="2400300" cy="4257675"/>
            <wp:effectExtent l="0" t="0" r="0" b="9525"/>
            <wp:docPr id="141556421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400300" cy="4257675"/>
                    </a:xfrm>
                    <a:prstGeom prst="rect">
                      <a:avLst/>
                    </a:prstGeom>
                    <a:noFill/>
                    <a:ln>
                      <a:noFill/>
                    </a:ln>
                  </pic:spPr>
                </pic:pic>
              </a:graphicData>
            </a:graphic>
          </wp:inline>
        </w:drawing>
      </w:r>
    </w:p>
    <w:p w14:paraId="0147C7BA" w14:textId="36033E31" w:rsidR="003847EE" w:rsidRDefault="003847EE" w:rsidP="005078FC">
      <w:pPr>
        <w:spacing w:after="200" w:line="276" w:lineRule="auto"/>
      </w:pPr>
    </w:p>
    <w:p w14:paraId="75E61086" w14:textId="4B910042" w:rsidR="00EF3EF3" w:rsidRDefault="00EF3EF3" w:rsidP="005078FC">
      <w:pPr>
        <w:spacing w:after="200" w:line="276" w:lineRule="auto"/>
        <w:rPr>
          <w:b w:val="0"/>
        </w:rPr>
      </w:pPr>
      <w:r>
        <w:br w:type="page"/>
      </w:r>
    </w:p>
    <w:p w14:paraId="37B7E537" w14:textId="77777777" w:rsidR="00850F01" w:rsidRDefault="00850F01" w:rsidP="00850F01">
      <w:pPr>
        <w:pStyle w:val="BodyTextIndent"/>
        <w:spacing w:line="360" w:lineRule="auto"/>
        <w:ind w:left="0"/>
        <w:jc w:val="left"/>
      </w:pPr>
      <w:r>
        <w:rPr>
          <w:b/>
        </w:rPr>
        <w:lastRenderedPageBreak/>
        <w:t>Attachment 5.1.1-7: Average UEC (kWh/BBtu)</w:t>
      </w:r>
    </w:p>
    <w:p w14:paraId="24E14467" w14:textId="77777777" w:rsidR="005078FC" w:rsidRDefault="005078FC" w:rsidP="005078FC">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7109D997" w14:textId="3785DAAC" w:rsidR="005078FC" w:rsidRDefault="005078FC" w:rsidP="00B21365">
      <w:pPr>
        <w:spacing w:line="276" w:lineRule="auto"/>
      </w:pPr>
      <w:r>
        <w:t xml:space="preserve">Budget </w:t>
      </w:r>
      <w:r w:rsidR="006E71B7">
        <w:t>2025</w:t>
      </w:r>
    </w:p>
    <w:p w14:paraId="461D7D96" w14:textId="77777777" w:rsidR="0027122A" w:rsidRDefault="0027122A" w:rsidP="00B21365">
      <w:pPr>
        <w:spacing w:line="276" w:lineRule="auto"/>
      </w:pPr>
    </w:p>
    <w:p w14:paraId="02CA1761" w14:textId="41337624" w:rsidR="00766BB0" w:rsidRDefault="00620D48" w:rsidP="00766BB0">
      <w:pPr>
        <w:spacing w:line="276" w:lineRule="auto"/>
      </w:pPr>
      <w:r w:rsidRPr="00620D48">
        <w:rPr>
          <w:noProof/>
        </w:rPr>
        <w:drawing>
          <wp:inline distT="0" distB="0" distL="0" distR="0" wp14:anchorId="0DF536C3" wp14:editId="0A779817">
            <wp:extent cx="8229600" cy="3939540"/>
            <wp:effectExtent l="0" t="0" r="0" b="3810"/>
            <wp:docPr id="59233885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229600" cy="3939540"/>
                    </a:xfrm>
                    <a:prstGeom prst="rect">
                      <a:avLst/>
                    </a:prstGeom>
                    <a:noFill/>
                    <a:ln>
                      <a:noFill/>
                    </a:ln>
                  </pic:spPr>
                </pic:pic>
              </a:graphicData>
            </a:graphic>
          </wp:inline>
        </w:drawing>
      </w:r>
    </w:p>
    <w:p w14:paraId="716E0773" w14:textId="77777777" w:rsidR="006E71B7" w:rsidRDefault="006E71B7" w:rsidP="00766BB0">
      <w:pPr>
        <w:spacing w:line="276" w:lineRule="auto"/>
      </w:pPr>
    </w:p>
    <w:p w14:paraId="54AC5CDD" w14:textId="080B91D9" w:rsidR="00E1223B" w:rsidRDefault="00E1223B" w:rsidP="00B21D6F">
      <w:pPr>
        <w:spacing w:after="200" w:line="276" w:lineRule="auto"/>
        <w:rPr>
          <w:noProof/>
        </w:rPr>
      </w:pPr>
    </w:p>
    <w:p w14:paraId="21ED5C36" w14:textId="4F5D2E1B" w:rsidR="005078FC" w:rsidRDefault="005078FC" w:rsidP="00B21D6F">
      <w:pPr>
        <w:spacing w:after="200" w:line="276" w:lineRule="auto"/>
        <w:rPr>
          <w:b w:val="0"/>
        </w:rPr>
      </w:pPr>
      <w:r>
        <w:br w:type="page"/>
      </w:r>
    </w:p>
    <w:p w14:paraId="29F73BE4" w14:textId="77777777" w:rsidR="005078FC" w:rsidRDefault="005078FC" w:rsidP="005078FC">
      <w:pPr>
        <w:pStyle w:val="BodyTextIndent"/>
        <w:spacing w:line="360" w:lineRule="auto"/>
        <w:ind w:left="0"/>
        <w:jc w:val="left"/>
      </w:pPr>
      <w:r>
        <w:rPr>
          <w:b/>
        </w:rPr>
        <w:lastRenderedPageBreak/>
        <w:t xml:space="preserve">Attachment 5.1.1-7: Average UEC (cont’d) </w:t>
      </w:r>
    </w:p>
    <w:p w14:paraId="0CC15D1E" w14:textId="77777777" w:rsidR="005078FC" w:rsidRDefault="005078FC" w:rsidP="005078FC">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711DFFB8" w14:textId="48DE30C7" w:rsidR="005078FC" w:rsidRDefault="005078FC" w:rsidP="005078FC">
      <w:pPr>
        <w:spacing w:after="200" w:line="276" w:lineRule="auto"/>
      </w:pPr>
      <w:r>
        <w:t xml:space="preserve">Budget </w:t>
      </w:r>
      <w:r w:rsidR="006E71B7">
        <w:t>2025</w:t>
      </w:r>
    </w:p>
    <w:p w14:paraId="0DB7DA46" w14:textId="7742DAF7" w:rsidR="00766BB0" w:rsidRDefault="00B309DD" w:rsidP="00766BB0">
      <w:pPr>
        <w:spacing w:line="276" w:lineRule="auto"/>
      </w:pPr>
      <w:r w:rsidRPr="00B309DD">
        <w:rPr>
          <w:noProof/>
        </w:rPr>
        <w:drawing>
          <wp:inline distT="0" distB="0" distL="0" distR="0" wp14:anchorId="0C8FE9CD" wp14:editId="4E69632F">
            <wp:extent cx="8229600" cy="3279140"/>
            <wp:effectExtent l="0" t="0" r="0" b="0"/>
            <wp:docPr id="57933596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8229600" cy="3279140"/>
                    </a:xfrm>
                    <a:prstGeom prst="rect">
                      <a:avLst/>
                    </a:prstGeom>
                    <a:noFill/>
                    <a:ln>
                      <a:noFill/>
                    </a:ln>
                  </pic:spPr>
                </pic:pic>
              </a:graphicData>
            </a:graphic>
          </wp:inline>
        </w:drawing>
      </w:r>
    </w:p>
    <w:p w14:paraId="71E6C8AA" w14:textId="77777777" w:rsidR="006E71B7" w:rsidRDefault="006E71B7" w:rsidP="00766BB0">
      <w:pPr>
        <w:spacing w:line="276" w:lineRule="auto"/>
      </w:pPr>
    </w:p>
    <w:p w14:paraId="38E4AFAC" w14:textId="64AACB93" w:rsidR="00E1223B" w:rsidRDefault="00E1223B" w:rsidP="00B21D6F">
      <w:pPr>
        <w:spacing w:after="200" w:line="276" w:lineRule="auto"/>
        <w:rPr>
          <w:noProof/>
        </w:rPr>
      </w:pPr>
    </w:p>
    <w:p w14:paraId="26E81C0C" w14:textId="18CEBA6D" w:rsidR="005078FC" w:rsidRDefault="005078FC" w:rsidP="00B21D6F">
      <w:pPr>
        <w:spacing w:after="200" w:line="276" w:lineRule="auto"/>
        <w:rPr>
          <w:b w:val="0"/>
        </w:rPr>
      </w:pPr>
      <w:r>
        <w:br w:type="page"/>
      </w:r>
    </w:p>
    <w:p w14:paraId="3188C8E9" w14:textId="77777777" w:rsidR="005078FC" w:rsidRDefault="005078FC" w:rsidP="005078FC">
      <w:pPr>
        <w:pStyle w:val="BodyTextIndent"/>
        <w:spacing w:line="360" w:lineRule="auto"/>
        <w:ind w:left="0"/>
        <w:jc w:val="left"/>
      </w:pPr>
      <w:r>
        <w:rPr>
          <w:b/>
        </w:rPr>
        <w:lastRenderedPageBreak/>
        <w:t xml:space="preserve">Attachment 5.1.1-7: Average UEC (cont’d) </w:t>
      </w:r>
    </w:p>
    <w:p w14:paraId="6790503C" w14:textId="77777777" w:rsidR="005078FC" w:rsidRDefault="005078FC" w:rsidP="005078FC">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2662F37A" w14:textId="7494BBCD" w:rsidR="005078FC" w:rsidRDefault="005078FC" w:rsidP="00766BB0">
      <w:pPr>
        <w:spacing w:line="276" w:lineRule="auto"/>
      </w:pPr>
      <w:r>
        <w:t xml:space="preserve">Budget </w:t>
      </w:r>
      <w:r w:rsidR="006E71B7">
        <w:t>2025</w:t>
      </w:r>
    </w:p>
    <w:p w14:paraId="1BAA3F4E" w14:textId="23C81D65" w:rsidR="00766BB0" w:rsidRDefault="00766BB0" w:rsidP="00ED5C37">
      <w:pPr>
        <w:spacing w:line="276" w:lineRule="auto"/>
      </w:pPr>
    </w:p>
    <w:p w14:paraId="4F1C63D0" w14:textId="3F4150D7" w:rsidR="00766BB0" w:rsidRDefault="00CD21DA" w:rsidP="00766BB0">
      <w:pPr>
        <w:spacing w:line="276" w:lineRule="auto"/>
      </w:pPr>
      <w:r w:rsidRPr="00CD21DA">
        <w:rPr>
          <w:noProof/>
        </w:rPr>
        <w:drawing>
          <wp:inline distT="0" distB="0" distL="0" distR="0" wp14:anchorId="1DFA4D48" wp14:editId="28BC8B2F">
            <wp:extent cx="8229600" cy="4749800"/>
            <wp:effectExtent l="0" t="0" r="0" b="0"/>
            <wp:docPr id="88029709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229600" cy="4749800"/>
                    </a:xfrm>
                    <a:prstGeom prst="rect">
                      <a:avLst/>
                    </a:prstGeom>
                    <a:noFill/>
                    <a:ln>
                      <a:noFill/>
                    </a:ln>
                  </pic:spPr>
                </pic:pic>
              </a:graphicData>
            </a:graphic>
          </wp:inline>
        </w:drawing>
      </w:r>
    </w:p>
    <w:p w14:paraId="59909F05" w14:textId="77777777" w:rsidR="006E71B7" w:rsidRDefault="006E71B7" w:rsidP="00766BB0">
      <w:pPr>
        <w:spacing w:line="276" w:lineRule="auto"/>
      </w:pPr>
    </w:p>
    <w:p w14:paraId="3D235574" w14:textId="6212E3D3" w:rsidR="005078FC" w:rsidRDefault="005078FC" w:rsidP="00B21D6F">
      <w:pPr>
        <w:spacing w:after="200" w:line="276" w:lineRule="auto"/>
        <w:rPr>
          <w:b w:val="0"/>
        </w:rPr>
      </w:pPr>
      <w:r>
        <w:br w:type="page"/>
      </w:r>
    </w:p>
    <w:p w14:paraId="10407B6F" w14:textId="77777777" w:rsidR="00B57508" w:rsidRDefault="00B57508" w:rsidP="00B57508">
      <w:pPr>
        <w:pStyle w:val="BodyTextIndent"/>
        <w:spacing w:line="360" w:lineRule="auto"/>
        <w:ind w:left="0"/>
        <w:jc w:val="left"/>
      </w:pPr>
      <w:r>
        <w:rPr>
          <w:b/>
        </w:rPr>
        <w:lastRenderedPageBreak/>
        <w:t xml:space="preserve">Attachment 5.1.1-7: Average UEC (cont’d) </w:t>
      </w:r>
    </w:p>
    <w:p w14:paraId="14CC18F5" w14:textId="77777777" w:rsidR="00B57508" w:rsidRDefault="00B57508" w:rsidP="00B57508">
      <w:pPr>
        <w:pStyle w:val="BodyTextIndent"/>
        <w:spacing w:after="0"/>
        <w:ind w:left="0"/>
        <w:rPr>
          <w:b/>
        </w:rPr>
      </w:pPr>
      <w:r>
        <w:rPr>
          <w:b/>
        </w:rPr>
        <w:t>Residential Long-Term Forecast (LoadMAP-R) Unadjusted</w:t>
      </w:r>
    </w:p>
    <w:p w14:paraId="2A3BA9D7" w14:textId="00A514E7" w:rsidR="00B57508" w:rsidRDefault="00B57508" w:rsidP="00766BB0">
      <w:pPr>
        <w:spacing w:line="276" w:lineRule="auto"/>
      </w:pPr>
      <w:r>
        <w:t xml:space="preserve">Budget </w:t>
      </w:r>
      <w:r w:rsidR="006E71B7">
        <w:t>2025</w:t>
      </w:r>
    </w:p>
    <w:p w14:paraId="2CB05A70" w14:textId="77777777" w:rsidR="00766BB0" w:rsidRDefault="00766BB0" w:rsidP="00B21365">
      <w:pPr>
        <w:spacing w:line="276" w:lineRule="auto"/>
      </w:pPr>
    </w:p>
    <w:p w14:paraId="5B6197DC" w14:textId="4613FD74" w:rsidR="006E71B7" w:rsidRDefault="00DA23FF" w:rsidP="00B57508">
      <w:pPr>
        <w:spacing w:after="200" w:line="276" w:lineRule="auto"/>
      </w:pPr>
      <w:r w:rsidRPr="00DA23FF">
        <w:rPr>
          <w:noProof/>
        </w:rPr>
        <w:drawing>
          <wp:inline distT="0" distB="0" distL="0" distR="0" wp14:anchorId="389C51AB" wp14:editId="7B2CDC13">
            <wp:extent cx="6632575" cy="4809490"/>
            <wp:effectExtent l="0" t="0" r="0" b="0"/>
            <wp:docPr id="97825857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632575" cy="4809490"/>
                    </a:xfrm>
                    <a:prstGeom prst="rect">
                      <a:avLst/>
                    </a:prstGeom>
                    <a:noFill/>
                    <a:ln>
                      <a:noFill/>
                    </a:ln>
                  </pic:spPr>
                </pic:pic>
              </a:graphicData>
            </a:graphic>
          </wp:inline>
        </w:drawing>
      </w:r>
    </w:p>
    <w:p w14:paraId="57BCD80A" w14:textId="77777777" w:rsidR="0027122A" w:rsidRDefault="0027122A">
      <w:pPr>
        <w:spacing w:after="200" w:line="276" w:lineRule="auto"/>
        <w:jc w:val="left"/>
        <w:rPr>
          <w:b w:val="0"/>
        </w:rPr>
      </w:pPr>
      <w:r>
        <w:br w:type="page"/>
      </w:r>
    </w:p>
    <w:p w14:paraId="0F921D95" w14:textId="2C0498C1" w:rsidR="00850F01" w:rsidRDefault="00850F01" w:rsidP="00850F01">
      <w:pPr>
        <w:pStyle w:val="BodyTextIndent"/>
        <w:spacing w:line="360" w:lineRule="auto"/>
        <w:ind w:left="0"/>
        <w:jc w:val="left"/>
      </w:pPr>
      <w:r>
        <w:rPr>
          <w:b/>
        </w:rPr>
        <w:lastRenderedPageBreak/>
        <w:t>Attachment 5.1.1-8: Average Share of Market</w:t>
      </w:r>
    </w:p>
    <w:p w14:paraId="738599D1" w14:textId="77777777" w:rsidR="002C0DD5" w:rsidRDefault="002C0DD5" w:rsidP="002C0DD5">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676AEC12" w14:textId="399FD7A9" w:rsidR="002C0DD5" w:rsidRDefault="002C0DD5" w:rsidP="00766BB0">
      <w:pPr>
        <w:spacing w:line="276" w:lineRule="auto"/>
      </w:pPr>
      <w:r>
        <w:t xml:space="preserve">Budget </w:t>
      </w:r>
      <w:r w:rsidR="006E71B7">
        <w:t>2025</w:t>
      </w:r>
    </w:p>
    <w:p w14:paraId="2CCC247E" w14:textId="77777777" w:rsidR="00766BB0" w:rsidRDefault="00766BB0" w:rsidP="00B21365">
      <w:pPr>
        <w:spacing w:line="276" w:lineRule="auto"/>
      </w:pPr>
    </w:p>
    <w:p w14:paraId="36607C14" w14:textId="79171AFD" w:rsidR="006E71B7" w:rsidRDefault="002B0755" w:rsidP="002C0DD5">
      <w:pPr>
        <w:spacing w:after="200" w:line="276" w:lineRule="auto"/>
      </w:pPr>
      <w:r w:rsidRPr="002B0755">
        <w:rPr>
          <w:noProof/>
        </w:rPr>
        <w:drawing>
          <wp:inline distT="0" distB="0" distL="0" distR="0" wp14:anchorId="666874D5" wp14:editId="0AA9B7F7">
            <wp:extent cx="8229600" cy="3663950"/>
            <wp:effectExtent l="0" t="0" r="0" b="0"/>
            <wp:docPr id="1000519085"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229600" cy="3663950"/>
                    </a:xfrm>
                    <a:prstGeom prst="rect">
                      <a:avLst/>
                    </a:prstGeom>
                    <a:noFill/>
                    <a:ln>
                      <a:noFill/>
                    </a:ln>
                  </pic:spPr>
                </pic:pic>
              </a:graphicData>
            </a:graphic>
          </wp:inline>
        </w:drawing>
      </w:r>
    </w:p>
    <w:p w14:paraId="0BEF6634" w14:textId="3C969712" w:rsidR="005078FC" w:rsidRDefault="005078FC" w:rsidP="00B21D6F">
      <w:pPr>
        <w:spacing w:after="200" w:line="276" w:lineRule="auto"/>
        <w:rPr>
          <w:b w:val="0"/>
        </w:rPr>
      </w:pPr>
      <w:r>
        <w:br w:type="page"/>
      </w:r>
    </w:p>
    <w:p w14:paraId="7A308F6F" w14:textId="77777777" w:rsidR="002C0DD5" w:rsidRDefault="002C0DD5" w:rsidP="002C0DD5">
      <w:pPr>
        <w:pStyle w:val="BodyTextIndent"/>
        <w:spacing w:line="360" w:lineRule="auto"/>
        <w:ind w:left="0"/>
        <w:jc w:val="left"/>
      </w:pPr>
      <w:r>
        <w:rPr>
          <w:b/>
        </w:rPr>
        <w:lastRenderedPageBreak/>
        <w:t>Attachment 5.1.1-8: Average Share of Market (cont’d)</w:t>
      </w:r>
    </w:p>
    <w:p w14:paraId="33FB9E85" w14:textId="77777777" w:rsidR="002C0DD5" w:rsidRDefault="002C0DD5" w:rsidP="002C0DD5">
      <w:pPr>
        <w:pStyle w:val="BodyTextIndent"/>
        <w:spacing w:after="0"/>
        <w:ind w:left="0"/>
        <w:rPr>
          <w:b/>
        </w:rPr>
      </w:pPr>
      <w:r>
        <w:rPr>
          <w:b/>
        </w:rPr>
        <w:t>Residential Long-Term Forecast</w:t>
      </w:r>
      <w:r w:rsidR="002300F7">
        <w:rPr>
          <w:b/>
        </w:rPr>
        <w:t xml:space="preserve"> (LoadMAP-R)</w:t>
      </w:r>
      <w:r>
        <w:rPr>
          <w:b/>
        </w:rPr>
        <w:t xml:space="preserve"> </w:t>
      </w:r>
      <w:r w:rsidR="0065117D">
        <w:rPr>
          <w:b/>
        </w:rPr>
        <w:t>U</w:t>
      </w:r>
      <w:r>
        <w:rPr>
          <w:b/>
        </w:rPr>
        <w:t>nadjusted</w:t>
      </w:r>
    </w:p>
    <w:p w14:paraId="56FD1E45" w14:textId="48C27A7E" w:rsidR="002C0DD5" w:rsidRDefault="002C0DD5" w:rsidP="00766BB0">
      <w:pPr>
        <w:spacing w:line="276" w:lineRule="auto"/>
      </w:pPr>
      <w:r>
        <w:t xml:space="preserve">Budget </w:t>
      </w:r>
      <w:r w:rsidR="00A16C06">
        <w:t>2025</w:t>
      </w:r>
    </w:p>
    <w:p w14:paraId="572E27A9" w14:textId="77777777" w:rsidR="00766BB0" w:rsidRDefault="00766BB0" w:rsidP="00B21365">
      <w:pPr>
        <w:spacing w:line="276" w:lineRule="auto"/>
      </w:pPr>
    </w:p>
    <w:p w14:paraId="58087046" w14:textId="39C049D5" w:rsidR="00A16C06" w:rsidRDefault="00241E85" w:rsidP="00B21D6F">
      <w:pPr>
        <w:spacing w:after="200" w:line="276" w:lineRule="auto"/>
        <w:rPr>
          <w:noProof/>
        </w:rPr>
      </w:pPr>
      <w:r w:rsidRPr="00241E85">
        <w:rPr>
          <w:noProof/>
        </w:rPr>
        <w:drawing>
          <wp:inline distT="0" distB="0" distL="0" distR="0" wp14:anchorId="58F3A6D4" wp14:editId="06D7C56C">
            <wp:extent cx="8229600" cy="3053715"/>
            <wp:effectExtent l="0" t="0" r="0" b="0"/>
            <wp:docPr id="977003291"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229600" cy="3053715"/>
                    </a:xfrm>
                    <a:prstGeom prst="rect">
                      <a:avLst/>
                    </a:prstGeom>
                    <a:noFill/>
                    <a:ln>
                      <a:noFill/>
                    </a:ln>
                  </pic:spPr>
                </pic:pic>
              </a:graphicData>
            </a:graphic>
          </wp:inline>
        </w:drawing>
      </w:r>
    </w:p>
    <w:p w14:paraId="3C06DD14" w14:textId="424F084C" w:rsidR="00E1223B" w:rsidRDefault="00E1223B" w:rsidP="00B21D6F">
      <w:pPr>
        <w:spacing w:after="200" w:line="276" w:lineRule="auto"/>
        <w:rPr>
          <w:noProof/>
        </w:rPr>
      </w:pPr>
    </w:p>
    <w:p w14:paraId="477F219F" w14:textId="4D6DDBD9" w:rsidR="00590C86" w:rsidRDefault="00590C86" w:rsidP="00B21D6F">
      <w:pPr>
        <w:spacing w:after="200" w:line="276" w:lineRule="auto"/>
      </w:pPr>
      <w:r>
        <w:br w:type="page"/>
      </w:r>
    </w:p>
    <w:p w14:paraId="7339A175" w14:textId="77777777" w:rsidR="00590C86" w:rsidRDefault="00590C86" w:rsidP="00590C86">
      <w:pPr>
        <w:pStyle w:val="BodyTextIndent"/>
        <w:spacing w:line="360" w:lineRule="auto"/>
        <w:ind w:left="0"/>
        <w:jc w:val="left"/>
      </w:pPr>
      <w:r>
        <w:rPr>
          <w:b/>
        </w:rPr>
        <w:lastRenderedPageBreak/>
        <w:t>Attachment 5.1.1-8: Average Share of Market (cont’d)</w:t>
      </w:r>
    </w:p>
    <w:p w14:paraId="04F3F766" w14:textId="77777777" w:rsidR="00590C86" w:rsidRDefault="00590C86" w:rsidP="00590C86">
      <w:pPr>
        <w:pStyle w:val="BodyTextIndent"/>
        <w:spacing w:after="0"/>
        <w:ind w:left="0"/>
        <w:rPr>
          <w:b/>
        </w:rPr>
      </w:pPr>
      <w:r>
        <w:rPr>
          <w:b/>
        </w:rPr>
        <w:t xml:space="preserve">Residential Long-Term Forecast </w:t>
      </w:r>
      <w:r w:rsidR="002300F7">
        <w:rPr>
          <w:b/>
        </w:rPr>
        <w:t xml:space="preserve">(LoadMAP-R) </w:t>
      </w:r>
      <w:r w:rsidR="0065117D">
        <w:rPr>
          <w:b/>
        </w:rPr>
        <w:t>U</w:t>
      </w:r>
      <w:r>
        <w:rPr>
          <w:b/>
        </w:rPr>
        <w:t>nadjusted</w:t>
      </w:r>
    </w:p>
    <w:p w14:paraId="1E66BB21" w14:textId="7D7E56DA" w:rsidR="00590C86" w:rsidRDefault="00590C86" w:rsidP="00590C86">
      <w:pPr>
        <w:spacing w:after="200" w:line="276" w:lineRule="auto"/>
      </w:pPr>
      <w:r>
        <w:t xml:space="preserve">Budget </w:t>
      </w:r>
      <w:r w:rsidR="00A16C06">
        <w:t>2025</w:t>
      </w:r>
    </w:p>
    <w:p w14:paraId="3B68CA76" w14:textId="1B3E7D75" w:rsidR="00766BB0" w:rsidRDefault="004025C5" w:rsidP="00AA785B">
      <w:pPr>
        <w:spacing w:line="276" w:lineRule="auto"/>
      </w:pPr>
      <w:r w:rsidRPr="004025C5">
        <w:rPr>
          <w:noProof/>
        </w:rPr>
        <w:drawing>
          <wp:inline distT="0" distB="0" distL="0" distR="0" wp14:anchorId="19E6A207" wp14:editId="09DDDC73">
            <wp:extent cx="7961630" cy="4809490"/>
            <wp:effectExtent l="0" t="0" r="1270" b="0"/>
            <wp:docPr id="849807118"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961630" cy="4809490"/>
                    </a:xfrm>
                    <a:prstGeom prst="rect">
                      <a:avLst/>
                    </a:prstGeom>
                    <a:noFill/>
                    <a:ln>
                      <a:noFill/>
                    </a:ln>
                  </pic:spPr>
                </pic:pic>
              </a:graphicData>
            </a:graphic>
          </wp:inline>
        </w:drawing>
      </w:r>
    </w:p>
    <w:p w14:paraId="577BBDD9" w14:textId="77777777" w:rsidR="00A16C06" w:rsidRDefault="00A16C06" w:rsidP="00AA785B">
      <w:pPr>
        <w:spacing w:line="276" w:lineRule="auto"/>
      </w:pPr>
    </w:p>
    <w:p w14:paraId="51D53E59" w14:textId="611B93A9" w:rsidR="00E1223B" w:rsidRDefault="00E1223B" w:rsidP="00B21D6F">
      <w:pPr>
        <w:spacing w:after="200" w:line="276" w:lineRule="auto"/>
        <w:rPr>
          <w:noProof/>
        </w:rPr>
      </w:pPr>
    </w:p>
    <w:p w14:paraId="67420737" w14:textId="00637D28" w:rsidR="00B95430" w:rsidRDefault="005078FC" w:rsidP="00B95430">
      <w:pPr>
        <w:pStyle w:val="BodyTextIndent"/>
        <w:spacing w:line="360" w:lineRule="auto"/>
        <w:ind w:left="0"/>
        <w:jc w:val="left"/>
      </w:pPr>
      <w:r>
        <w:br w:type="page"/>
      </w:r>
      <w:r w:rsidR="00B95430">
        <w:rPr>
          <w:b/>
        </w:rPr>
        <w:lastRenderedPageBreak/>
        <w:t>Attachment 5.1.1-8: Average Share of Market (cont’d)</w:t>
      </w:r>
    </w:p>
    <w:p w14:paraId="6B1BA6DD" w14:textId="77777777" w:rsidR="00B95430" w:rsidRDefault="00B95430" w:rsidP="00B95430">
      <w:pPr>
        <w:pStyle w:val="BodyTextIndent"/>
        <w:spacing w:after="0"/>
        <w:ind w:left="0"/>
        <w:rPr>
          <w:b/>
        </w:rPr>
      </w:pPr>
      <w:r>
        <w:rPr>
          <w:b/>
        </w:rPr>
        <w:t>Residential Long-Term Forecast (LoadMAP-R) Unadjusted</w:t>
      </w:r>
    </w:p>
    <w:p w14:paraId="1EDD5CFB" w14:textId="6CE81C69" w:rsidR="00B95430" w:rsidRDefault="00B95430" w:rsidP="00B95430">
      <w:pPr>
        <w:spacing w:after="200" w:line="276" w:lineRule="auto"/>
      </w:pPr>
      <w:r>
        <w:t xml:space="preserve">Budget </w:t>
      </w:r>
      <w:r w:rsidR="00A16C06">
        <w:t>2025</w:t>
      </w:r>
    </w:p>
    <w:p w14:paraId="30802A2C" w14:textId="323E646F" w:rsidR="00B95430" w:rsidRDefault="008E7157" w:rsidP="00ED5C37">
      <w:pPr>
        <w:pStyle w:val="BodyTextIndent"/>
        <w:spacing w:line="360" w:lineRule="auto"/>
        <w:ind w:left="0"/>
        <w:rPr>
          <w:b/>
        </w:rPr>
      </w:pPr>
      <w:r w:rsidRPr="008E7157">
        <w:rPr>
          <w:b/>
          <w:noProof/>
        </w:rPr>
        <w:drawing>
          <wp:inline distT="0" distB="0" distL="0" distR="0" wp14:anchorId="4EBF65F1" wp14:editId="15358336">
            <wp:extent cx="6602095" cy="4809490"/>
            <wp:effectExtent l="0" t="0" r="8255" b="0"/>
            <wp:docPr id="208286562"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6602095" cy="4809490"/>
                    </a:xfrm>
                    <a:prstGeom prst="rect">
                      <a:avLst/>
                    </a:prstGeom>
                    <a:noFill/>
                    <a:ln>
                      <a:noFill/>
                    </a:ln>
                  </pic:spPr>
                </pic:pic>
              </a:graphicData>
            </a:graphic>
          </wp:inline>
        </w:drawing>
      </w:r>
    </w:p>
    <w:p w14:paraId="26EE9F0D" w14:textId="77777777" w:rsidR="00A16C06" w:rsidRDefault="00A16C06" w:rsidP="00ED5C37">
      <w:pPr>
        <w:pStyle w:val="BodyTextIndent"/>
        <w:spacing w:line="360" w:lineRule="auto"/>
        <w:ind w:left="0"/>
        <w:rPr>
          <w:b/>
        </w:rPr>
      </w:pPr>
    </w:p>
    <w:p w14:paraId="2F8C709E" w14:textId="12C65DE5" w:rsidR="00DD2423" w:rsidRDefault="00DD2423" w:rsidP="00B95430">
      <w:pPr>
        <w:pStyle w:val="BodyTextIndent"/>
        <w:spacing w:line="360" w:lineRule="auto"/>
        <w:ind w:left="0"/>
        <w:rPr>
          <w:b/>
        </w:rPr>
        <w:sectPr w:rsidR="00DD2423" w:rsidSect="00B95430">
          <w:type w:val="continuous"/>
          <w:pgSz w:w="15840" w:h="12240" w:orient="landscape"/>
          <w:pgMar w:top="1440" w:right="1440" w:bottom="1440" w:left="1440" w:header="720" w:footer="720" w:gutter="0"/>
          <w:cols w:space="720"/>
          <w:docGrid w:linePitch="273"/>
        </w:sectPr>
      </w:pPr>
    </w:p>
    <w:p w14:paraId="70F81AFD" w14:textId="7EFE5E57" w:rsidR="00850F01" w:rsidRPr="00850F01" w:rsidRDefault="00850F01" w:rsidP="00850F01">
      <w:pPr>
        <w:pStyle w:val="Heading2"/>
        <w:jc w:val="left"/>
        <w:rPr>
          <w:rFonts w:ascii="Arial" w:hAnsi="Arial" w:cs="Arial"/>
          <w:b/>
          <w:color w:val="auto"/>
          <w:sz w:val="20"/>
          <w:szCs w:val="20"/>
        </w:rPr>
      </w:pPr>
      <w:bookmarkStart w:id="358" w:name="_Toc114629526"/>
      <w:bookmarkStart w:id="359" w:name="_Toc138581533"/>
      <w:bookmarkStart w:id="360" w:name="_Toc347120419"/>
      <w:bookmarkStart w:id="361" w:name="_Toc188257151"/>
      <w:bookmarkStart w:id="362" w:name="_Toc188257366"/>
      <w:bookmarkStart w:id="363" w:name="_Toc188257590"/>
      <w:bookmarkStart w:id="364" w:name="_Toc189162599"/>
      <w:r w:rsidRPr="00850F01">
        <w:rPr>
          <w:rFonts w:ascii="Arial" w:hAnsi="Arial" w:cs="Arial"/>
          <w:b/>
          <w:color w:val="auto"/>
          <w:sz w:val="20"/>
          <w:szCs w:val="20"/>
        </w:rPr>
        <w:lastRenderedPageBreak/>
        <w:t>5.1.2</w:t>
      </w:r>
      <w:r w:rsidRPr="00850F01">
        <w:rPr>
          <w:rFonts w:ascii="Arial" w:hAnsi="Arial" w:cs="Arial"/>
          <w:b/>
          <w:color w:val="auto"/>
          <w:sz w:val="20"/>
          <w:szCs w:val="20"/>
        </w:rPr>
        <w:tab/>
        <w:t>Commercial Long-Term Energy Sales</w:t>
      </w:r>
      <w:bookmarkEnd w:id="358"/>
      <w:bookmarkEnd w:id="359"/>
      <w:bookmarkEnd w:id="360"/>
      <w:bookmarkEnd w:id="361"/>
      <w:bookmarkEnd w:id="362"/>
      <w:bookmarkEnd w:id="363"/>
      <w:bookmarkEnd w:id="364"/>
    </w:p>
    <w:p w14:paraId="79303E70" w14:textId="77777777" w:rsidR="00460DCE" w:rsidRDefault="00460DCE" w:rsidP="00850F01">
      <w:pPr>
        <w:pStyle w:val="BodyText"/>
      </w:pPr>
    </w:p>
    <w:p w14:paraId="59DE8ECF" w14:textId="6FFFA88B" w:rsidR="00675ACF" w:rsidRPr="00AA59CB" w:rsidRDefault="00675ACF" w:rsidP="000B2DBF">
      <w:pPr>
        <w:pStyle w:val="BodyText"/>
        <w:spacing w:after="0" w:line="360" w:lineRule="auto"/>
        <w:jc w:val="both"/>
        <w:rPr>
          <w:b w:val="0"/>
        </w:rPr>
      </w:pPr>
      <w:r w:rsidRPr="00AA59CB">
        <w:rPr>
          <w:b w:val="0"/>
        </w:rPr>
        <w:t>The long-term forecast of electric energy sa</w:t>
      </w:r>
      <w:r w:rsidR="000B2DBF">
        <w:rPr>
          <w:b w:val="0"/>
        </w:rPr>
        <w:t>l</w:t>
      </w:r>
      <w:r w:rsidRPr="00AA59CB">
        <w:rPr>
          <w:b w:val="0"/>
        </w:rPr>
        <w:t xml:space="preserve">es for Georgia Power’s commercial class was produced using LoadMAP. The </w:t>
      </w:r>
      <w:r w:rsidR="002B2193">
        <w:rPr>
          <w:b w:val="0"/>
        </w:rPr>
        <w:t>c</w:t>
      </w:r>
      <w:r w:rsidRPr="00AA59CB">
        <w:rPr>
          <w:b w:val="0"/>
        </w:rPr>
        <w:t>ommercial LoadMAP model uses floor space by building type</w:t>
      </w:r>
      <w:r>
        <w:rPr>
          <w:b w:val="0"/>
        </w:rPr>
        <w:t>, assumed normal weather</w:t>
      </w:r>
      <w:r w:rsidRPr="00AA59CB">
        <w:rPr>
          <w:b w:val="0"/>
        </w:rPr>
        <w:t xml:space="preserve"> and fuel price forecasts to produce a commercial </w:t>
      </w:r>
      <w:r>
        <w:rPr>
          <w:b w:val="0"/>
        </w:rPr>
        <w:t xml:space="preserve">energy sales </w:t>
      </w:r>
      <w:r w:rsidRPr="00AA59CB">
        <w:rPr>
          <w:b w:val="0"/>
        </w:rPr>
        <w:t>forecast by diff</w:t>
      </w:r>
      <w:r>
        <w:rPr>
          <w:b w:val="0"/>
        </w:rPr>
        <w:t xml:space="preserve">erent technologies for each end </w:t>
      </w:r>
      <w:r w:rsidRPr="00AA59CB">
        <w:rPr>
          <w:b w:val="0"/>
        </w:rPr>
        <w:t>use and building type.</w:t>
      </w:r>
    </w:p>
    <w:p w14:paraId="4A1985BF" w14:textId="77777777" w:rsidR="00675ACF" w:rsidRPr="00AA59CB" w:rsidRDefault="00675ACF" w:rsidP="000B2DBF">
      <w:pPr>
        <w:pStyle w:val="BodyText"/>
        <w:spacing w:after="0" w:line="360" w:lineRule="auto"/>
        <w:jc w:val="both"/>
      </w:pPr>
    </w:p>
    <w:p w14:paraId="1839E9A3" w14:textId="40B34CEE" w:rsidR="00AA59CB" w:rsidRDefault="00675ACF" w:rsidP="00AA59CB">
      <w:pPr>
        <w:pStyle w:val="BodyText"/>
        <w:spacing w:line="360" w:lineRule="auto"/>
        <w:jc w:val="both"/>
        <w:rPr>
          <w:b w:val="0"/>
        </w:rPr>
      </w:pPr>
      <w:r w:rsidRPr="00AA59CB">
        <w:rPr>
          <w:b w:val="0"/>
        </w:rPr>
        <w:t xml:space="preserve">The commercial sector is segmented into </w:t>
      </w:r>
      <w:r w:rsidR="002B2193">
        <w:rPr>
          <w:b w:val="0"/>
        </w:rPr>
        <w:t xml:space="preserve">13 </w:t>
      </w:r>
      <w:r>
        <w:rPr>
          <w:b w:val="0"/>
        </w:rPr>
        <w:t xml:space="preserve">building types, </w:t>
      </w:r>
      <w:r w:rsidR="002B2193">
        <w:rPr>
          <w:b w:val="0"/>
        </w:rPr>
        <w:t xml:space="preserve">10 </w:t>
      </w:r>
      <w:r>
        <w:rPr>
          <w:b w:val="0"/>
        </w:rPr>
        <w:t xml:space="preserve">end </w:t>
      </w:r>
      <w:r w:rsidRPr="00AA59CB">
        <w:rPr>
          <w:b w:val="0"/>
        </w:rPr>
        <w:t xml:space="preserve">uses, and two fuel types. The </w:t>
      </w:r>
      <w:r w:rsidR="002B2193">
        <w:rPr>
          <w:b w:val="0"/>
        </w:rPr>
        <w:t>13</w:t>
      </w:r>
      <w:r w:rsidR="002B2193" w:rsidRPr="00AA59CB">
        <w:rPr>
          <w:b w:val="0"/>
        </w:rPr>
        <w:t xml:space="preserve"> </w:t>
      </w:r>
      <w:r w:rsidRPr="00AA59CB">
        <w:rPr>
          <w:b w:val="0"/>
        </w:rPr>
        <w:t>building types are:</w:t>
      </w:r>
    </w:p>
    <w:p w14:paraId="084FECC8" w14:textId="77777777" w:rsidR="00675ACF" w:rsidRPr="00AA59CB" w:rsidRDefault="00675ACF" w:rsidP="000B2DBF">
      <w:pPr>
        <w:pStyle w:val="BodyText"/>
        <w:spacing w:after="0"/>
        <w:jc w:val="both"/>
        <w:rPr>
          <w:b w:val="0"/>
        </w:rPr>
      </w:pPr>
    </w:p>
    <w:tbl>
      <w:tblPr>
        <w:tblW w:w="0" w:type="auto"/>
        <w:tblLayout w:type="fixed"/>
        <w:tblLook w:val="0000" w:firstRow="0" w:lastRow="0" w:firstColumn="0" w:lastColumn="0" w:noHBand="0" w:noVBand="0"/>
      </w:tblPr>
      <w:tblGrid>
        <w:gridCol w:w="4305"/>
        <w:gridCol w:w="4505"/>
      </w:tblGrid>
      <w:tr w:rsidR="00AA59CB" w:rsidRPr="00AA59CB" w14:paraId="12103FCD" w14:textId="77777777" w:rsidTr="00774360">
        <w:trPr>
          <w:trHeight w:val="216"/>
        </w:trPr>
        <w:tc>
          <w:tcPr>
            <w:tcW w:w="4305" w:type="dxa"/>
          </w:tcPr>
          <w:p w14:paraId="173A307A" w14:textId="77777777" w:rsidR="00AA59CB" w:rsidRPr="00AA59CB" w:rsidRDefault="00AA59CB" w:rsidP="00774360">
            <w:pPr>
              <w:pStyle w:val="BodyText"/>
              <w:spacing w:after="0" w:line="276" w:lineRule="auto"/>
              <w:jc w:val="both"/>
            </w:pPr>
            <w:r w:rsidRPr="00AA59CB">
              <w:t>1.</w:t>
            </w:r>
            <w:r w:rsidRPr="00AA59CB">
              <w:tab/>
              <w:t>Office</w:t>
            </w:r>
          </w:p>
        </w:tc>
        <w:tc>
          <w:tcPr>
            <w:tcW w:w="4505" w:type="dxa"/>
          </w:tcPr>
          <w:p w14:paraId="2E627431" w14:textId="77777777" w:rsidR="00AA59CB" w:rsidRPr="00AA59CB" w:rsidRDefault="00AA59CB" w:rsidP="00774360">
            <w:pPr>
              <w:pStyle w:val="BodyText"/>
              <w:spacing w:after="0" w:line="276" w:lineRule="auto"/>
              <w:jc w:val="both"/>
            </w:pPr>
            <w:r w:rsidRPr="00AA59CB">
              <w:t xml:space="preserve"> 8.</w:t>
            </w:r>
            <w:r w:rsidRPr="00AA59CB">
              <w:tab/>
              <w:t xml:space="preserve"> Healthcare</w:t>
            </w:r>
          </w:p>
        </w:tc>
      </w:tr>
      <w:tr w:rsidR="00AA59CB" w:rsidRPr="00AA59CB" w14:paraId="382DB4B3" w14:textId="77777777" w:rsidTr="00774360">
        <w:trPr>
          <w:trHeight w:val="216"/>
        </w:trPr>
        <w:tc>
          <w:tcPr>
            <w:tcW w:w="4305" w:type="dxa"/>
          </w:tcPr>
          <w:p w14:paraId="146C5BF4" w14:textId="77777777" w:rsidR="00AA59CB" w:rsidRPr="00AA59CB" w:rsidRDefault="00AA59CB" w:rsidP="00774360">
            <w:pPr>
              <w:pStyle w:val="BodyText"/>
              <w:spacing w:after="0" w:line="276" w:lineRule="auto"/>
              <w:jc w:val="both"/>
            </w:pPr>
            <w:r w:rsidRPr="00AA59CB">
              <w:t>2.</w:t>
            </w:r>
            <w:r w:rsidRPr="00AA59CB">
              <w:tab/>
              <w:t>Restaurant</w:t>
            </w:r>
          </w:p>
        </w:tc>
        <w:tc>
          <w:tcPr>
            <w:tcW w:w="4505" w:type="dxa"/>
          </w:tcPr>
          <w:p w14:paraId="1C104B83" w14:textId="77777777" w:rsidR="00AA59CB" w:rsidRPr="00AA59CB" w:rsidRDefault="00AA59CB" w:rsidP="00774360">
            <w:pPr>
              <w:pStyle w:val="BodyText"/>
              <w:spacing w:after="0" w:line="276" w:lineRule="auto"/>
              <w:jc w:val="both"/>
            </w:pPr>
            <w:r w:rsidRPr="00AA59CB">
              <w:t xml:space="preserve"> 9.</w:t>
            </w:r>
            <w:r w:rsidRPr="00AA59CB">
              <w:tab/>
              <w:t xml:space="preserve"> Lodging</w:t>
            </w:r>
          </w:p>
        </w:tc>
      </w:tr>
      <w:tr w:rsidR="00AA59CB" w:rsidRPr="00AA59CB" w14:paraId="3D12684D" w14:textId="77777777" w:rsidTr="00774360">
        <w:trPr>
          <w:trHeight w:val="216"/>
        </w:trPr>
        <w:tc>
          <w:tcPr>
            <w:tcW w:w="4305" w:type="dxa"/>
          </w:tcPr>
          <w:p w14:paraId="4C79F987" w14:textId="77777777" w:rsidR="00AA59CB" w:rsidRPr="00AA59CB" w:rsidRDefault="00AA59CB" w:rsidP="00774360">
            <w:pPr>
              <w:pStyle w:val="BodyText"/>
              <w:spacing w:after="0" w:line="276" w:lineRule="auto"/>
              <w:jc w:val="both"/>
            </w:pPr>
            <w:r w:rsidRPr="00AA59CB">
              <w:t>3.</w:t>
            </w:r>
            <w:r w:rsidRPr="00AA59CB">
              <w:tab/>
              <w:t>Retail</w:t>
            </w:r>
          </w:p>
        </w:tc>
        <w:tc>
          <w:tcPr>
            <w:tcW w:w="4505" w:type="dxa"/>
          </w:tcPr>
          <w:p w14:paraId="7E667E90" w14:textId="028FD851" w:rsidR="00AA59CB" w:rsidRPr="00AA59CB" w:rsidRDefault="00AA59CB" w:rsidP="00774360">
            <w:pPr>
              <w:pStyle w:val="BodyText"/>
              <w:spacing w:after="0" w:line="276" w:lineRule="auto"/>
              <w:jc w:val="both"/>
            </w:pPr>
            <w:r w:rsidRPr="00AA59CB">
              <w:t>10.</w:t>
            </w:r>
            <w:r w:rsidR="00616255">
              <w:t xml:space="preserve">    </w:t>
            </w:r>
            <w:r w:rsidRPr="00AA59CB">
              <w:t xml:space="preserve"> </w:t>
            </w:r>
            <w:r w:rsidR="00287D55">
              <w:t xml:space="preserve">    </w:t>
            </w:r>
            <w:r w:rsidRPr="00AA59CB">
              <w:t>Miscellaneous Buildings</w:t>
            </w:r>
          </w:p>
        </w:tc>
      </w:tr>
      <w:tr w:rsidR="00AA59CB" w:rsidRPr="00AA59CB" w14:paraId="762C2F60" w14:textId="77777777" w:rsidTr="00774360">
        <w:trPr>
          <w:trHeight w:val="216"/>
        </w:trPr>
        <w:tc>
          <w:tcPr>
            <w:tcW w:w="4305" w:type="dxa"/>
          </w:tcPr>
          <w:p w14:paraId="063833E8" w14:textId="77777777" w:rsidR="00AA59CB" w:rsidRPr="00AA59CB" w:rsidRDefault="00AA59CB" w:rsidP="00774360">
            <w:pPr>
              <w:pStyle w:val="BodyText"/>
              <w:spacing w:after="0" w:line="276" w:lineRule="auto"/>
              <w:jc w:val="both"/>
            </w:pPr>
            <w:r w:rsidRPr="00AA59CB">
              <w:t>4.</w:t>
            </w:r>
            <w:r w:rsidRPr="00AA59CB">
              <w:tab/>
              <w:t>Grocery</w:t>
            </w:r>
          </w:p>
        </w:tc>
        <w:tc>
          <w:tcPr>
            <w:tcW w:w="4505" w:type="dxa"/>
          </w:tcPr>
          <w:p w14:paraId="352C0E45" w14:textId="38F1B229" w:rsidR="00AA59CB" w:rsidRPr="00AA59CB" w:rsidRDefault="00AA59CB" w:rsidP="00774360">
            <w:pPr>
              <w:pStyle w:val="BodyText"/>
              <w:spacing w:after="0" w:line="276" w:lineRule="auto"/>
              <w:jc w:val="both"/>
            </w:pPr>
            <w:r w:rsidRPr="00AA59CB">
              <w:t>11.</w:t>
            </w:r>
            <w:r w:rsidRPr="00AA59CB">
              <w:tab/>
              <w:t xml:space="preserve"> </w:t>
            </w:r>
            <w:r w:rsidR="00406AE2">
              <w:t>Public</w:t>
            </w:r>
          </w:p>
        </w:tc>
      </w:tr>
      <w:tr w:rsidR="00AA59CB" w:rsidRPr="00AA59CB" w14:paraId="020D7E78" w14:textId="77777777" w:rsidTr="00774360">
        <w:trPr>
          <w:trHeight w:val="216"/>
        </w:trPr>
        <w:tc>
          <w:tcPr>
            <w:tcW w:w="4305" w:type="dxa"/>
          </w:tcPr>
          <w:p w14:paraId="18226C90" w14:textId="77777777" w:rsidR="00AA59CB" w:rsidRPr="00AA59CB" w:rsidRDefault="00AA59CB" w:rsidP="00774360">
            <w:pPr>
              <w:pStyle w:val="BodyText"/>
              <w:spacing w:after="0" w:line="276" w:lineRule="auto"/>
              <w:jc w:val="both"/>
            </w:pPr>
            <w:r w:rsidRPr="00AA59CB">
              <w:t>5.</w:t>
            </w:r>
            <w:r w:rsidRPr="00AA59CB">
              <w:tab/>
              <w:t>Warehouse</w:t>
            </w:r>
          </w:p>
        </w:tc>
        <w:tc>
          <w:tcPr>
            <w:tcW w:w="4505" w:type="dxa"/>
          </w:tcPr>
          <w:p w14:paraId="7BAB9F5C" w14:textId="2B4CAC7B" w:rsidR="00AA59CB" w:rsidRPr="00AA59CB" w:rsidRDefault="00AA59CB" w:rsidP="00774360">
            <w:pPr>
              <w:pStyle w:val="BodyText"/>
              <w:spacing w:after="0" w:line="276" w:lineRule="auto"/>
              <w:jc w:val="both"/>
            </w:pPr>
            <w:r w:rsidRPr="00AA59CB">
              <w:t>12.</w:t>
            </w:r>
            <w:r w:rsidRPr="00AA59CB">
              <w:tab/>
              <w:t xml:space="preserve"> </w:t>
            </w:r>
            <w:r w:rsidR="0090707B">
              <w:t>Religion</w:t>
            </w:r>
          </w:p>
        </w:tc>
      </w:tr>
      <w:tr w:rsidR="00AA59CB" w:rsidRPr="00AA59CB" w14:paraId="4B63AF30" w14:textId="77777777" w:rsidTr="00774360">
        <w:trPr>
          <w:trHeight w:val="216"/>
        </w:trPr>
        <w:tc>
          <w:tcPr>
            <w:tcW w:w="4305" w:type="dxa"/>
          </w:tcPr>
          <w:p w14:paraId="5AB96063" w14:textId="77777777" w:rsidR="00AA59CB" w:rsidRPr="00AA59CB" w:rsidRDefault="00AA59CB" w:rsidP="00774360">
            <w:pPr>
              <w:pStyle w:val="BodyText"/>
              <w:spacing w:after="0" w:line="276" w:lineRule="auto"/>
              <w:jc w:val="both"/>
            </w:pPr>
            <w:r w:rsidRPr="00AA59CB">
              <w:t>6.</w:t>
            </w:r>
            <w:r w:rsidRPr="00AA59CB">
              <w:tab/>
              <w:t>Education</w:t>
            </w:r>
          </w:p>
        </w:tc>
        <w:tc>
          <w:tcPr>
            <w:tcW w:w="4505" w:type="dxa"/>
          </w:tcPr>
          <w:p w14:paraId="14B3A8E9" w14:textId="360AE4F0" w:rsidR="00AA59CB" w:rsidRPr="00AA59CB" w:rsidRDefault="00AA59CB" w:rsidP="00774360">
            <w:pPr>
              <w:pStyle w:val="BodyText"/>
              <w:spacing w:after="0" w:line="276" w:lineRule="auto"/>
              <w:jc w:val="both"/>
            </w:pPr>
            <w:r w:rsidRPr="00AA59CB">
              <w:t>13.</w:t>
            </w:r>
            <w:r w:rsidRPr="00AA59CB">
              <w:tab/>
              <w:t xml:space="preserve"> Data</w:t>
            </w:r>
            <w:r w:rsidR="00EE7E68">
              <w:t xml:space="preserve"> C</w:t>
            </w:r>
            <w:r w:rsidRPr="00AA59CB">
              <w:t>enter</w:t>
            </w:r>
            <w:r w:rsidR="00166540">
              <w:rPr>
                <w:rStyle w:val="FootnoteReference"/>
              </w:rPr>
              <w:footnoteReference w:id="9"/>
            </w:r>
          </w:p>
        </w:tc>
      </w:tr>
      <w:tr w:rsidR="00AA59CB" w:rsidRPr="00AA59CB" w14:paraId="17869ABE" w14:textId="77777777" w:rsidTr="00774360">
        <w:trPr>
          <w:trHeight w:val="216"/>
        </w:trPr>
        <w:tc>
          <w:tcPr>
            <w:tcW w:w="4305" w:type="dxa"/>
          </w:tcPr>
          <w:p w14:paraId="4A449549" w14:textId="77777777" w:rsidR="00AA59CB" w:rsidRPr="00AA59CB" w:rsidRDefault="00AA59CB" w:rsidP="00774360">
            <w:pPr>
              <w:pStyle w:val="BodyText"/>
              <w:spacing w:after="0" w:line="276" w:lineRule="auto"/>
              <w:jc w:val="both"/>
            </w:pPr>
            <w:r w:rsidRPr="00AA59CB">
              <w:t>7.</w:t>
            </w:r>
            <w:r w:rsidRPr="00AA59CB">
              <w:tab/>
              <w:t>Amusement</w:t>
            </w:r>
          </w:p>
        </w:tc>
        <w:tc>
          <w:tcPr>
            <w:tcW w:w="4505" w:type="dxa"/>
          </w:tcPr>
          <w:p w14:paraId="441FEAFC" w14:textId="77777777" w:rsidR="00AA59CB" w:rsidRPr="00AA59CB" w:rsidRDefault="00AA59CB" w:rsidP="00774360">
            <w:pPr>
              <w:pStyle w:val="BodyText"/>
              <w:spacing w:after="0" w:line="276" w:lineRule="auto"/>
              <w:jc w:val="both"/>
            </w:pPr>
          </w:p>
        </w:tc>
      </w:tr>
    </w:tbl>
    <w:p w14:paraId="21EB32A8" w14:textId="77777777" w:rsidR="00AA59CB" w:rsidRPr="00AA59CB" w:rsidRDefault="00AA59CB" w:rsidP="00675ACF">
      <w:pPr>
        <w:pStyle w:val="BodyText"/>
        <w:spacing w:before="240" w:after="0"/>
        <w:jc w:val="both"/>
      </w:pPr>
    </w:p>
    <w:p w14:paraId="57032362" w14:textId="31B7EBFE" w:rsidR="00AA59CB" w:rsidRDefault="00AA59CB" w:rsidP="00AA59CB">
      <w:pPr>
        <w:pStyle w:val="BodyText"/>
        <w:spacing w:line="360" w:lineRule="auto"/>
        <w:jc w:val="both"/>
        <w:rPr>
          <w:b w:val="0"/>
        </w:rPr>
      </w:pPr>
      <w:r w:rsidRPr="00AA59CB">
        <w:rPr>
          <w:b w:val="0"/>
        </w:rPr>
        <w:t xml:space="preserve">The </w:t>
      </w:r>
      <w:r w:rsidR="002103FE">
        <w:rPr>
          <w:b w:val="0"/>
        </w:rPr>
        <w:t>ten</w:t>
      </w:r>
      <w:r w:rsidR="002103FE" w:rsidRPr="00AA59CB">
        <w:rPr>
          <w:b w:val="0"/>
        </w:rPr>
        <w:t xml:space="preserve"> </w:t>
      </w:r>
      <w:r w:rsidRPr="00AA59CB">
        <w:rPr>
          <w:b w:val="0"/>
        </w:rPr>
        <w:t>end</w:t>
      </w:r>
      <w:r w:rsidR="00C85644">
        <w:rPr>
          <w:b w:val="0"/>
        </w:rPr>
        <w:t xml:space="preserve"> </w:t>
      </w:r>
      <w:r w:rsidRPr="00AA59CB">
        <w:rPr>
          <w:b w:val="0"/>
        </w:rPr>
        <w:t>uses modeled for each of the building types listed above are:</w:t>
      </w:r>
    </w:p>
    <w:p w14:paraId="2A4290A2" w14:textId="77777777" w:rsidR="00675ACF" w:rsidRPr="00AA59CB" w:rsidRDefault="00675ACF" w:rsidP="000B2DBF">
      <w:pPr>
        <w:pStyle w:val="BodyText"/>
        <w:spacing w:after="0"/>
        <w:jc w:val="both"/>
        <w:rPr>
          <w:b w:val="0"/>
        </w:rPr>
      </w:pPr>
    </w:p>
    <w:tbl>
      <w:tblPr>
        <w:tblW w:w="17131" w:type="dxa"/>
        <w:tblLayout w:type="fixed"/>
        <w:tblLook w:val="0000" w:firstRow="0" w:lastRow="0" w:firstColumn="0" w:lastColumn="0" w:noHBand="0" w:noVBand="0"/>
      </w:tblPr>
      <w:tblGrid>
        <w:gridCol w:w="4377"/>
        <w:gridCol w:w="4377"/>
        <w:gridCol w:w="4377"/>
        <w:gridCol w:w="4000"/>
      </w:tblGrid>
      <w:tr w:rsidR="00675ACF" w:rsidRPr="00AA59CB" w14:paraId="3CE17F56" w14:textId="77777777" w:rsidTr="00675ACF">
        <w:trPr>
          <w:trHeight w:val="296"/>
        </w:trPr>
        <w:tc>
          <w:tcPr>
            <w:tcW w:w="4377" w:type="dxa"/>
          </w:tcPr>
          <w:p w14:paraId="61B28CDA" w14:textId="1526BF49" w:rsidR="00675ACF" w:rsidRPr="00AA59CB" w:rsidRDefault="00675ACF" w:rsidP="00675ACF">
            <w:pPr>
              <w:pStyle w:val="BodyText"/>
              <w:spacing w:after="0" w:line="276" w:lineRule="auto"/>
              <w:jc w:val="left"/>
            </w:pPr>
            <w:r>
              <w:t>1.</w:t>
            </w:r>
            <w:r>
              <w:tab/>
              <w:t>Primary Heat (Space Heating)</w:t>
            </w:r>
          </w:p>
        </w:tc>
        <w:tc>
          <w:tcPr>
            <w:tcW w:w="4377" w:type="dxa"/>
          </w:tcPr>
          <w:p w14:paraId="19D26BD4" w14:textId="321030C3" w:rsidR="00675ACF" w:rsidRPr="00AA59CB" w:rsidRDefault="00675ACF" w:rsidP="00675ACF">
            <w:pPr>
              <w:pStyle w:val="BodyText"/>
              <w:spacing w:after="0" w:line="276" w:lineRule="auto"/>
              <w:jc w:val="left"/>
            </w:pPr>
            <w:r>
              <w:t xml:space="preserve"> </w:t>
            </w:r>
            <w:r w:rsidR="002103FE">
              <w:t>6</w:t>
            </w:r>
            <w:r>
              <w:t>.</w:t>
            </w:r>
            <w:r>
              <w:tab/>
              <w:t xml:space="preserve"> </w:t>
            </w:r>
            <w:r w:rsidR="002103FE" w:rsidRPr="357AF213">
              <w:rPr>
                <w:bCs/>
              </w:rPr>
              <w:t>Exterior Lighting</w:t>
            </w:r>
            <w:r w:rsidR="002103FE" w:rsidDel="002103FE">
              <w:t xml:space="preserve"> </w:t>
            </w:r>
          </w:p>
        </w:tc>
        <w:tc>
          <w:tcPr>
            <w:tcW w:w="4377" w:type="dxa"/>
          </w:tcPr>
          <w:p w14:paraId="4A491AA5" w14:textId="70E0232E" w:rsidR="00675ACF" w:rsidRPr="00AA59CB" w:rsidRDefault="00675ACF" w:rsidP="00675ACF">
            <w:pPr>
              <w:pStyle w:val="BodyText"/>
              <w:spacing w:after="0" w:line="276" w:lineRule="auto"/>
              <w:jc w:val="left"/>
            </w:pPr>
          </w:p>
        </w:tc>
        <w:tc>
          <w:tcPr>
            <w:tcW w:w="4000" w:type="dxa"/>
          </w:tcPr>
          <w:p w14:paraId="71900374" w14:textId="6E144853" w:rsidR="00675ACF" w:rsidRPr="00AA59CB" w:rsidRDefault="00675ACF" w:rsidP="00675ACF">
            <w:pPr>
              <w:pStyle w:val="BodyText"/>
              <w:spacing w:after="0" w:line="276" w:lineRule="auto"/>
              <w:jc w:val="left"/>
            </w:pPr>
          </w:p>
        </w:tc>
      </w:tr>
      <w:tr w:rsidR="00675ACF" w:rsidRPr="00AA59CB" w14:paraId="4708D46E" w14:textId="77777777" w:rsidTr="00675ACF">
        <w:trPr>
          <w:trHeight w:val="296"/>
        </w:trPr>
        <w:tc>
          <w:tcPr>
            <w:tcW w:w="4377" w:type="dxa"/>
          </w:tcPr>
          <w:p w14:paraId="07F8F233" w14:textId="2BC394D0" w:rsidR="00675ACF" w:rsidRPr="00AA59CB" w:rsidRDefault="00675ACF" w:rsidP="00675ACF">
            <w:pPr>
              <w:pStyle w:val="BodyText"/>
              <w:spacing w:after="0" w:line="276" w:lineRule="auto"/>
              <w:jc w:val="left"/>
            </w:pPr>
            <w:r w:rsidRPr="00AA59CB">
              <w:t>2.</w:t>
            </w:r>
            <w:r w:rsidRPr="00AA59CB">
              <w:tab/>
              <w:t>Cooling (Air Conditioning)</w:t>
            </w:r>
          </w:p>
        </w:tc>
        <w:tc>
          <w:tcPr>
            <w:tcW w:w="4377" w:type="dxa"/>
          </w:tcPr>
          <w:p w14:paraId="747045F9" w14:textId="461F4E7A" w:rsidR="00675ACF" w:rsidRPr="00AA59CB" w:rsidRDefault="00675ACF" w:rsidP="00675ACF">
            <w:pPr>
              <w:pStyle w:val="BodyText"/>
              <w:spacing w:after="0" w:line="276" w:lineRule="auto"/>
              <w:jc w:val="left"/>
            </w:pPr>
            <w:r>
              <w:t xml:space="preserve"> </w:t>
            </w:r>
            <w:r w:rsidR="002103FE">
              <w:t>7</w:t>
            </w:r>
            <w:r>
              <w:t>.</w:t>
            </w:r>
            <w:r>
              <w:tab/>
              <w:t xml:space="preserve"> </w:t>
            </w:r>
            <w:r w:rsidR="002103FE">
              <w:t>Interior Lighting</w:t>
            </w:r>
            <w:r w:rsidR="002103FE" w:rsidDel="002103FE">
              <w:t xml:space="preserve"> </w:t>
            </w:r>
          </w:p>
        </w:tc>
        <w:tc>
          <w:tcPr>
            <w:tcW w:w="4377" w:type="dxa"/>
          </w:tcPr>
          <w:p w14:paraId="31DEEC5F" w14:textId="387F5552" w:rsidR="00675ACF" w:rsidRPr="00AA59CB" w:rsidRDefault="00675ACF" w:rsidP="00675ACF">
            <w:pPr>
              <w:pStyle w:val="BodyText"/>
              <w:spacing w:after="0" w:line="276" w:lineRule="auto"/>
              <w:jc w:val="left"/>
            </w:pPr>
          </w:p>
        </w:tc>
        <w:tc>
          <w:tcPr>
            <w:tcW w:w="4000" w:type="dxa"/>
          </w:tcPr>
          <w:p w14:paraId="501EC217" w14:textId="547501C6" w:rsidR="00675ACF" w:rsidRPr="00AA59CB" w:rsidRDefault="00675ACF" w:rsidP="00675ACF">
            <w:pPr>
              <w:pStyle w:val="BodyText"/>
              <w:spacing w:after="0" w:line="276" w:lineRule="auto"/>
              <w:jc w:val="left"/>
            </w:pPr>
          </w:p>
        </w:tc>
      </w:tr>
      <w:tr w:rsidR="00675ACF" w:rsidRPr="00AA59CB" w14:paraId="3A09B11A" w14:textId="77777777" w:rsidTr="00675ACF">
        <w:trPr>
          <w:trHeight w:val="296"/>
        </w:trPr>
        <w:tc>
          <w:tcPr>
            <w:tcW w:w="4377" w:type="dxa"/>
          </w:tcPr>
          <w:p w14:paraId="3B0608F1" w14:textId="4D107853" w:rsidR="00675ACF" w:rsidRPr="00AA59CB" w:rsidRDefault="00675ACF" w:rsidP="00675ACF">
            <w:pPr>
              <w:pStyle w:val="BodyText"/>
              <w:spacing w:after="0" w:line="276" w:lineRule="auto"/>
              <w:jc w:val="left"/>
            </w:pPr>
            <w:r w:rsidRPr="00AA59CB">
              <w:t>3.</w:t>
            </w:r>
            <w:r w:rsidR="00616255">
              <w:t xml:space="preserve">     </w:t>
            </w:r>
            <w:r w:rsidR="00287D55">
              <w:t xml:space="preserve">     </w:t>
            </w:r>
            <w:r w:rsidRPr="00AA59CB">
              <w:t>Water Heating</w:t>
            </w:r>
          </w:p>
        </w:tc>
        <w:tc>
          <w:tcPr>
            <w:tcW w:w="4377" w:type="dxa"/>
          </w:tcPr>
          <w:p w14:paraId="7191C83C" w14:textId="6ED56E61" w:rsidR="00675ACF" w:rsidRPr="00AA59CB" w:rsidRDefault="00675ACF" w:rsidP="00675ACF">
            <w:pPr>
              <w:pStyle w:val="BodyText"/>
              <w:spacing w:after="0" w:line="276" w:lineRule="auto"/>
              <w:jc w:val="left"/>
            </w:pPr>
            <w:r>
              <w:t xml:space="preserve"> </w:t>
            </w:r>
            <w:r w:rsidR="002103FE">
              <w:t>8</w:t>
            </w:r>
            <w:r>
              <w:t>.</w:t>
            </w:r>
            <w:r>
              <w:tab/>
              <w:t xml:space="preserve"> </w:t>
            </w:r>
            <w:r w:rsidR="002103FE">
              <w:t>Office Equipment</w:t>
            </w:r>
            <w:r w:rsidR="002103FE" w:rsidDel="002103FE">
              <w:t xml:space="preserve"> </w:t>
            </w:r>
          </w:p>
        </w:tc>
        <w:tc>
          <w:tcPr>
            <w:tcW w:w="4377" w:type="dxa"/>
          </w:tcPr>
          <w:p w14:paraId="38CA6544" w14:textId="12394B2F" w:rsidR="00675ACF" w:rsidRPr="00AA59CB" w:rsidRDefault="00675ACF" w:rsidP="00675ACF">
            <w:pPr>
              <w:pStyle w:val="BodyText"/>
              <w:spacing w:after="0" w:line="276" w:lineRule="auto"/>
              <w:jc w:val="left"/>
            </w:pPr>
          </w:p>
        </w:tc>
        <w:tc>
          <w:tcPr>
            <w:tcW w:w="4000" w:type="dxa"/>
          </w:tcPr>
          <w:p w14:paraId="479BAB5C" w14:textId="3B9BFE3A" w:rsidR="00675ACF" w:rsidRPr="00AA59CB" w:rsidRDefault="00675ACF" w:rsidP="00675ACF">
            <w:pPr>
              <w:pStyle w:val="BodyText"/>
              <w:spacing w:after="0" w:line="276" w:lineRule="auto"/>
              <w:jc w:val="left"/>
            </w:pPr>
          </w:p>
        </w:tc>
      </w:tr>
      <w:tr w:rsidR="00675ACF" w:rsidRPr="00AA59CB" w14:paraId="6617A079" w14:textId="77777777" w:rsidTr="00675ACF">
        <w:trPr>
          <w:trHeight w:val="296"/>
        </w:trPr>
        <w:tc>
          <w:tcPr>
            <w:tcW w:w="4377" w:type="dxa"/>
          </w:tcPr>
          <w:p w14:paraId="37E7F640" w14:textId="36572634" w:rsidR="00675ACF" w:rsidRPr="00AA59CB" w:rsidRDefault="00675ACF" w:rsidP="00675ACF">
            <w:pPr>
              <w:pStyle w:val="BodyText"/>
              <w:spacing w:after="0" w:line="276" w:lineRule="auto"/>
              <w:jc w:val="left"/>
            </w:pPr>
            <w:r>
              <w:t>4.</w:t>
            </w:r>
            <w:r w:rsidR="00616255">
              <w:t xml:space="preserve">     </w:t>
            </w:r>
            <w:r w:rsidR="00287D55">
              <w:t xml:space="preserve">     </w:t>
            </w:r>
            <w:r>
              <w:t>Food Preparation</w:t>
            </w:r>
          </w:p>
        </w:tc>
        <w:tc>
          <w:tcPr>
            <w:tcW w:w="4377" w:type="dxa"/>
          </w:tcPr>
          <w:p w14:paraId="58DEC9C5" w14:textId="30DF8A99" w:rsidR="00675ACF" w:rsidRPr="00AA59CB" w:rsidRDefault="002103FE" w:rsidP="00675ACF">
            <w:pPr>
              <w:pStyle w:val="BodyText"/>
              <w:spacing w:after="0" w:line="276" w:lineRule="auto"/>
              <w:jc w:val="left"/>
            </w:pPr>
            <w:r>
              <w:t>9</w:t>
            </w:r>
            <w:r w:rsidR="00675ACF">
              <w:t>.</w:t>
            </w:r>
            <w:r w:rsidR="00675ACF">
              <w:tab/>
              <w:t xml:space="preserve"> </w:t>
            </w:r>
            <w:r>
              <w:t>Ventilation</w:t>
            </w:r>
            <w:r w:rsidDel="002103FE">
              <w:t xml:space="preserve"> </w:t>
            </w:r>
          </w:p>
        </w:tc>
        <w:tc>
          <w:tcPr>
            <w:tcW w:w="4377" w:type="dxa"/>
          </w:tcPr>
          <w:p w14:paraId="20DC13A1" w14:textId="00BB98F7" w:rsidR="00675ACF" w:rsidRPr="00AA59CB" w:rsidRDefault="00675ACF" w:rsidP="00675ACF">
            <w:pPr>
              <w:pStyle w:val="BodyText"/>
              <w:spacing w:after="0" w:line="276" w:lineRule="auto"/>
              <w:jc w:val="left"/>
            </w:pPr>
          </w:p>
        </w:tc>
        <w:tc>
          <w:tcPr>
            <w:tcW w:w="4000" w:type="dxa"/>
          </w:tcPr>
          <w:p w14:paraId="35E9D185" w14:textId="16675FC6" w:rsidR="00675ACF" w:rsidRPr="00AA59CB" w:rsidRDefault="00675ACF" w:rsidP="00675ACF">
            <w:pPr>
              <w:pStyle w:val="BodyText"/>
              <w:spacing w:after="0" w:line="276" w:lineRule="auto"/>
              <w:jc w:val="left"/>
            </w:pPr>
          </w:p>
        </w:tc>
      </w:tr>
      <w:tr w:rsidR="00675ACF" w:rsidRPr="00AA59CB" w14:paraId="7BDC8D6A" w14:textId="77777777" w:rsidTr="00675ACF">
        <w:trPr>
          <w:trHeight w:val="296"/>
        </w:trPr>
        <w:tc>
          <w:tcPr>
            <w:tcW w:w="4377" w:type="dxa"/>
          </w:tcPr>
          <w:p w14:paraId="32DA9313" w14:textId="77777777" w:rsidR="00675ACF" w:rsidRPr="00AA59CB" w:rsidRDefault="00675ACF" w:rsidP="00675ACF">
            <w:pPr>
              <w:pStyle w:val="BodyText"/>
              <w:spacing w:after="0" w:line="276" w:lineRule="auto"/>
              <w:jc w:val="left"/>
            </w:pPr>
            <w:r>
              <w:t>5.</w:t>
            </w:r>
            <w:r>
              <w:tab/>
              <w:t>Refrigeration</w:t>
            </w:r>
          </w:p>
          <w:p w14:paraId="7D028EE8" w14:textId="21936DDF" w:rsidR="00675ACF" w:rsidRPr="00AA59CB" w:rsidRDefault="00675ACF" w:rsidP="00675ACF">
            <w:pPr>
              <w:pStyle w:val="BodyText"/>
              <w:spacing w:after="0" w:line="276" w:lineRule="auto"/>
              <w:jc w:val="left"/>
            </w:pPr>
          </w:p>
        </w:tc>
        <w:tc>
          <w:tcPr>
            <w:tcW w:w="4377" w:type="dxa"/>
          </w:tcPr>
          <w:p w14:paraId="663149FF" w14:textId="7D55A410" w:rsidR="00675ACF" w:rsidRPr="00AA59CB" w:rsidRDefault="002103FE" w:rsidP="002103FE">
            <w:pPr>
              <w:pStyle w:val="BodyText"/>
              <w:spacing w:after="0" w:line="276" w:lineRule="auto"/>
              <w:jc w:val="left"/>
            </w:pPr>
            <w:r>
              <w:t>10</w:t>
            </w:r>
            <w:r w:rsidR="00675ACF">
              <w:t>.</w:t>
            </w:r>
            <w:r w:rsidR="00675ACF">
              <w:tab/>
              <w:t xml:space="preserve"> </w:t>
            </w:r>
            <w:r>
              <w:t>Miscellaneous</w:t>
            </w:r>
            <w:r w:rsidDel="002103FE">
              <w:t xml:space="preserve"> </w:t>
            </w:r>
          </w:p>
        </w:tc>
        <w:tc>
          <w:tcPr>
            <w:tcW w:w="4377" w:type="dxa"/>
          </w:tcPr>
          <w:p w14:paraId="337434E6" w14:textId="75EF6BAC" w:rsidR="00675ACF" w:rsidRPr="00AA59CB" w:rsidRDefault="00675ACF" w:rsidP="00675ACF">
            <w:pPr>
              <w:pStyle w:val="BodyText"/>
              <w:spacing w:after="0" w:line="276" w:lineRule="auto"/>
              <w:jc w:val="left"/>
            </w:pPr>
          </w:p>
        </w:tc>
        <w:tc>
          <w:tcPr>
            <w:tcW w:w="4000" w:type="dxa"/>
          </w:tcPr>
          <w:p w14:paraId="0C1E2776" w14:textId="10D59431" w:rsidR="00675ACF" w:rsidRPr="00AA59CB" w:rsidRDefault="00675ACF" w:rsidP="00675ACF">
            <w:pPr>
              <w:pStyle w:val="BodyText"/>
              <w:spacing w:after="0" w:line="276" w:lineRule="auto"/>
              <w:jc w:val="left"/>
            </w:pPr>
          </w:p>
        </w:tc>
      </w:tr>
    </w:tbl>
    <w:p w14:paraId="572A1A83" w14:textId="77777777" w:rsidR="00AA59CB" w:rsidRPr="00AA59CB" w:rsidRDefault="00AA59CB" w:rsidP="000B2DBF">
      <w:pPr>
        <w:pStyle w:val="BodyText"/>
        <w:spacing w:after="0" w:line="360" w:lineRule="auto"/>
        <w:jc w:val="both"/>
      </w:pPr>
    </w:p>
    <w:p w14:paraId="0547E8F0" w14:textId="77777777" w:rsidR="00AA59CB" w:rsidRPr="00AA59CB" w:rsidRDefault="00AA59CB" w:rsidP="00AA59CB">
      <w:pPr>
        <w:pStyle w:val="BodyText"/>
        <w:jc w:val="both"/>
        <w:rPr>
          <w:b w:val="0"/>
        </w:rPr>
      </w:pPr>
      <w:r w:rsidRPr="00AA59CB">
        <w:rPr>
          <w:b w:val="0"/>
        </w:rPr>
        <w:t>The two fuel types used for the commercial market are electricity and natural gas.</w:t>
      </w:r>
    </w:p>
    <w:p w14:paraId="32BFEE65" w14:textId="77777777" w:rsidR="008B4AA0" w:rsidRPr="008B4AA0" w:rsidRDefault="008B4AA0" w:rsidP="000B2DBF">
      <w:pPr>
        <w:pStyle w:val="BodyText"/>
        <w:spacing w:after="0" w:line="360" w:lineRule="auto"/>
        <w:jc w:val="both"/>
        <w:rPr>
          <w:b w:val="0"/>
        </w:rPr>
      </w:pPr>
    </w:p>
    <w:p w14:paraId="08295CCE" w14:textId="54F5A5C4" w:rsidR="00393EA7" w:rsidRPr="00634EA8" w:rsidRDefault="00675ACF" w:rsidP="000B2DBF">
      <w:pPr>
        <w:pStyle w:val="BodyText"/>
        <w:spacing w:after="0" w:line="360" w:lineRule="auto"/>
        <w:jc w:val="both"/>
      </w:pPr>
      <w:r w:rsidRPr="00634EA8">
        <w:rPr>
          <w:b w:val="0"/>
        </w:rPr>
        <w:t xml:space="preserve">The </w:t>
      </w:r>
      <w:r w:rsidR="00461837">
        <w:rPr>
          <w:b w:val="0"/>
        </w:rPr>
        <w:t>c</w:t>
      </w:r>
      <w:r w:rsidRPr="00634EA8">
        <w:rPr>
          <w:b w:val="0"/>
        </w:rPr>
        <w:t>ommercial LoadMAP model forecasts the energy consumption f</w:t>
      </w:r>
      <w:r>
        <w:rPr>
          <w:b w:val="0"/>
        </w:rPr>
        <w:t xml:space="preserve">or each technology (appliance/equipment), in each end </w:t>
      </w:r>
      <w:r w:rsidRPr="00634EA8">
        <w:rPr>
          <w:b w:val="0"/>
        </w:rPr>
        <w:t>use in each market segment in the commercial class. Energy consumption is d</w:t>
      </w:r>
      <w:r>
        <w:rPr>
          <w:b w:val="0"/>
        </w:rPr>
        <w:t xml:space="preserve">etermined by building type, end </w:t>
      </w:r>
      <w:r w:rsidRPr="00634EA8">
        <w:rPr>
          <w:b w:val="0"/>
        </w:rPr>
        <w:t>use, and fuel type. Energy us</w:t>
      </w:r>
      <w:r>
        <w:rPr>
          <w:b w:val="0"/>
        </w:rPr>
        <w:t>age</w:t>
      </w:r>
      <w:r w:rsidRPr="00634EA8">
        <w:rPr>
          <w:b w:val="0"/>
        </w:rPr>
        <w:t xml:space="preserve"> var</w:t>
      </w:r>
      <w:r>
        <w:rPr>
          <w:b w:val="0"/>
        </w:rPr>
        <w:t>ies</w:t>
      </w:r>
      <w:r w:rsidRPr="00634EA8">
        <w:rPr>
          <w:b w:val="0"/>
        </w:rPr>
        <w:t xml:space="preserve"> considerably between building types; therefore, building type is the primary differentiation of the commercial market. This segmentation is done to group together market segments with relatively common characteristics while separately identifying segments with distinctly different characteristics</w:t>
      </w:r>
      <w:r w:rsidRPr="00634EA8">
        <w:t>.</w:t>
      </w:r>
      <w:r w:rsidR="00616255">
        <w:t xml:space="preserve"> </w:t>
      </w:r>
    </w:p>
    <w:p w14:paraId="1D3BCEED" w14:textId="77777777" w:rsidR="00393EA7" w:rsidRPr="00634EA8" w:rsidRDefault="00393EA7" w:rsidP="000B2DBF">
      <w:pPr>
        <w:pStyle w:val="BodyText"/>
        <w:spacing w:after="0" w:line="360" w:lineRule="auto"/>
        <w:jc w:val="both"/>
      </w:pPr>
    </w:p>
    <w:p w14:paraId="4EC7FF61" w14:textId="77777777" w:rsidR="00AF27B8" w:rsidRDefault="00675ACF" w:rsidP="002D2723">
      <w:pPr>
        <w:pStyle w:val="BodyText"/>
        <w:spacing w:after="0" w:line="360" w:lineRule="auto"/>
        <w:jc w:val="both"/>
        <w:rPr>
          <w:b w:val="0"/>
        </w:rPr>
      </w:pPr>
      <w:r w:rsidRPr="00634EA8">
        <w:rPr>
          <w:b w:val="0"/>
        </w:rPr>
        <w:lastRenderedPageBreak/>
        <w:t>The differences in building type reflect differences in operating characteristics as well as differences in the composition and choice of energy consum</w:t>
      </w:r>
      <w:r>
        <w:rPr>
          <w:b w:val="0"/>
        </w:rPr>
        <w:t>ing</w:t>
      </w:r>
      <w:r w:rsidRPr="00634EA8">
        <w:rPr>
          <w:b w:val="0"/>
        </w:rPr>
        <w:t xml:space="preserve"> activities and energy consuming equipment. These energy-consuming activities that deliver service to the occupants by various devices and equipment are called end</w:t>
      </w:r>
      <w:r>
        <w:rPr>
          <w:b w:val="0"/>
        </w:rPr>
        <w:t xml:space="preserve"> </w:t>
      </w:r>
      <w:r w:rsidRPr="00634EA8">
        <w:rPr>
          <w:b w:val="0"/>
        </w:rPr>
        <w:t>uses. An end</w:t>
      </w:r>
      <w:r>
        <w:rPr>
          <w:b w:val="0"/>
        </w:rPr>
        <w:t xml:space="preserve"> </w:t>
      </w:r>
      <w:r w:rsidRPr="00634EA8">
        <w:rPr>
          <w:b w:val="0"/>
        </w:rPr>
        <w:t xml:space="preserve">use is </w:t>
      </w:r>
      <w:r>
        <w:rPr>
          <w:b w:val="0"/>
        </w:rPr>
        <w:t xml:space="preserve">a group of </w:t>
      </w:r>
      <w:r w:rsidRPr="00634EA8">
        <w:rPr>
          <w:b w:val="0"/>
        </w:rPr>
        <w:t>energy</w:t>
      </w:r>
      <w:r>
        <w:rPr>
          <w:b w:val="0"/>
        </w:rPr>
        <w:t>-</w:t>
      </w:r>
      <w:r w:rsidRPr="00634EA8">
        <w:rPr>
          <w:b w:val="0"/>
        </w:rPr>
        <w:t>using equipment</w:t>
      </w:r>
      <w:r>
        <w:rPr>
          <w:b w:val="0"/>
        </w:rPr>
        <w:t>, referred to as technologies</w:t>
      </w:r>
      <w:r w:rsidRPr="00634EA8">
        <w:rPr>
          <w:b w:val="0"/>
        </w:rPr>
        <w:t>, such as lighting, cooking, or air conditioning. The composition and intensity of energy usage and the energy consuming activities within each building type vary according to the consumer activity and behavior resulting from the business purpose associated with the building. For example, a grocery store contains relatively more refrigeration and lighting while a restaurant has more energy consuming devices related to cooking. Therefore, the relative con</w:t>
      </w:r>
      <w:r>
        <w:rPr>
          <w:b w:val="0"/>
        </w:rPr>
        <w:t xml:space="preserve">centration of the different end </w:t>
      </w:r>
      <w:r w:rsidRPr="00634EA8">
        <w:rPr>
          <w:b w:val="0"/>
        </w:rPr>
        <w:t>uses varies by building type. Also, the energy consumption characteristics of each end</w:t>
      </w:r>
      <w:r>
        <w:rPr>
          <w:b w:val="0"/>
        </w:rPr>
        <w:t xml:space="preserve"> </w:t>
      </w:r>
      <w:r w:rsidRPr="00634EA8">
        <w:rPr>
          <w:b w:val="0"/>
        </w:rPr>
        <w:t>use will vary by building type because the selection of equipment to deliver that end-use service is made as appropriate to the function of the activities inside the building.</w:t>
      </w:r>
      <w:r w:rsidR="003F125E">
        <w:rPr>
          <w:b w:val="0"/>
        </w:rPr>
        <w:t xml:space="preserve"> </w:t>
      </w:r>
    </w:p>
    <w:p w14:paraId="2E90F359" w14:textId="2867CB68" w:rsidR="00AB1562" w:rsidRDefault="00AB1562" w:rsidP="002D2723">
      <w:pPr>
        <w:pStyle w:val="BodyText"/>
        <w:spacing w:after="0" w:line="360" w:lineRule="auto"/>
        <w:jc w:val="both"/>
        <w:rPr>
          <w:b w:val="0"/>
        </w:rPr>
      </w:pPr>
    </w:p>
    <w:p w14:paraId="4A0B8EB8" w14:textId="0465C1C9" w:rsidR="00393EA7" w:rsidRPr="00634EA8" w:rsidRDefault="00393EA7" w:rsidP="002D2723">
      <w:pPr>
        <w:pStyle w:val="BodyText"/>
        <w:spacing w:after="0" w:line="360" w:lineRule="auto"/>
        <w:jc w:val="both"/>
        <w:rPr>
          <w:b w:val="0"/>
        </w:rPr>
      </w:pPr>
      <w:r w:rsidRPr="00634EA8">
        <w:rPr>
          <w:b w:val="0"/>
        </w:rPr>
        <w:t>Consumers have the opportunity to select alternative energy consuming equipment (devices and appliances) that deliver the same service (for example, water heating or cooking) but vary by fuel. Since capital and operating costs vary for similar devices of different fuel types, and consumer preference varies by fuel, fuel costs also have an impact in the selection of end-use equipment.</w:t>
      </w:r>
    </w:p>
    <w:p w14:paraId="386F120B" w14:textId="77777777" w:rsidR="00E71F2D" w:rsidRPr="00E71F2D" w:rsidRDefault="00E71F2D" w:rsidP="002D2723">
      <w:pPr>
        <w:pStyle w:val="BodyTextIndent"/>
        <w:spacing w:after="0" w:line="360" w:lineRule="auto"/>
        <w:jc w:val="both"/>
        <w:rPr>
          <w:b/>
        </w:rPr>
      </w:pPr>
    </w:p>
    <w:p w14:paraId="18140ABD" w14:textId="21FD1270" w:rsidR="00E71F2D" w:rsidRPr="00E71F2D" w:rsidRDefault="00306010" w:rsidP="002D2723">
      <w:pPr>
        <w:pStyle w:val="BodyTextIndent"/>
        <w:spacing w:after="0" w:line="360" w:lineRule="auto"/>
        <w:ind w:left="0"/>
        <w:jc w:val="both"/>
      </w:pPr>
      <w:r w:rsidRPr="00634EA8">
        <w:t xml:space="preserve">The </w:t>
      </w:r>
      <w:r w:rsidR="00461837">
        <w:t>c</w:t>
      </w:r>
      <w:r w:rsidRPr="00634EA8">
        <w:t xml:space="preserve">ommercial LoadMAP model uses information about the operating characteristics, ownership decisions, and behavioral characteristics to determine energy consumption patterns of </w:t>
      </w:r>
      <w:r w:rsidR="00AD65F0">
        <w:t xml:space="preserve">commercial </w:t>
      </w:r>
      <w:r w:rsidRPr="00634EA8">
        <w:t>customers. Factors influencing the energy consumption within a building include the operating characteristics of the building, preferences in the construction of the building, consumer behavior of the occupants of the building, and operational design and influences in the building such as energy management systems and controls.</w:t>
      </w:r>
    </w:p>
    <w:p w14:paraId="53ECA6DC" w14:textId="77777777" w:rsidR="00E71F2D" w:rsidRDefault="00E71F2D" w:rsidP="002D2723">
      <w:pPr>
        <w:pStyle w:val="BodyTextIndent"/>
        <w:spacing w:after="0" w:line="360" w:lineRule="auto"/>
        <w:ind w:left="0"/>
        <w:jc w:val="both"/>
      </w:pPr>
    </w:p>
    <w:p w14:paraId="38CA3A96" w14:textId="4ABE4FAB" w:rsidR="001F165C" w:rsidRPr="00634EA8" w:rsidRDefault="001F165C" w:rsidP="001F165C">
      <w:pPr>
        <w:pStyle w:val="BodyText"/>
        <w:spacing w:line="360" w:lineRule="auto"/>
        <w:jc w:val="both"/>
        <w:rPr>
          <w:b w:val="0"/>
        </w:rPr>
      </w:pPr>
      <w:r w:rsidRPr="00634EA8">
        <w:rPr>
          <w:b w:val="0"/>
        </w:rPr>
        <w:t>It also models energy consumption using four main components: building floor space, share of the floor space served by appliance end</w:t>
      </w:r>
      <w:r w:rsidR="00E203FB">
        <w:rPr>
          <w:b w:val="0"/>
        </w:rPr>
        <w:t xml:space="preserve"> </w:t>
      </w:r>
      <w:r w:rsidRPr="00634EA8">
        <w:rPr>
          <w:b w:val="0"/>
        </w:rPr>
        <w:t>use and fuel type, energy consumption per square foot of floor space, and an index reflecting changes in energy usage of a fuel type. Appliance end</w:t>
      </w:r>
      <w:r w:rsidR="00BD7E3D">
        <w:rPr>
          <w:b w:val="0"/>
        </w:rPr>
        <w:t xml:space="preserve"> </w:t>
      </w:r>
      <w:r w:rsidRPr="00634EA8">
        <w:rPr>
          <w:b w:val="0"/>
        </w:rPr>
        <w:t>use by fuel type refers to an end</w:t>
      </w:r>
      <w:r w:rsidR="00D639BD">
        <w:rPr>
          <w:b w:val="0"/>
        </w:rPr>
        <w:t xml:space="preserve"> </w:t>
      </w:r>
      <w:r w:rsidRPr="00634EA8">
        <w:rPr>
          <w:b w:val="0"/>
        </w:rPr>
        <w:t>use class of appliances that consume a particular fuel (electricity or natural gas) such as electric cooking or gas room heating. The equation that uses these four main components to determine energy consumption, or sales, is called the central energy equation for the commercial class:</w:t>
      </w:r>
    </w:p>
    <w:p w14:paraId="41365F37" w14:textId="77777777" w:rsidR="001F165C" w:rsidRPr="00634EA8" w:rsidRDefault="00E150E3" w:rsidP="001F165C">
      <w:pPr>
        <w:spacing w:line="360" w:lineRule="auto"/>
        <w:jc w:val="both"/>
      </w:pPr>
      <w:r>
        <w:rPr>
          <w:noProof/>
        </w:rPr>
        <w:object w:dxaOrig="1440" w:dyaOrig="1440" w14:anchorId="40ED12B7">
          <v:shape id="Object 1" o:spid="_x0000_s2057" type="#_x0000_t75" style="position:absolute;left:0;text-align:left;margin-left:2.5pt;margin-top:3.4pt;width:185pt;height:27pt;z-index:251658241;visibility:visible">
            <v:imagedata r:id="rId46" o:title=""/>
          </v:shape>
          <o:OLEObject Type="Embed" ProgID="Equation.3" ShapeID="Object 1" DrawAspect="Content" ObjectID="_1799775383" r:id="rId75"/>
        </w:object>
      </w:r>
      <w:r w:rsidR="001F165C" w:rsidRPr="00634EA8">
        <w:tab/>
      </w:r>
    </w:p>
    <w:p w14:paraId="5DEF88D6" w14:textId="77777777" w:rsidR="001F165C" w:rsidRPr="00634EA8" w:rsidRDefault="001F165C" w:rsidP="001F165C">
      <w:pPr>
        <w:pStyle w:val="BodyText"/>
        <w:tabs>
          <w:tab w:val="left" w:pos="6540"/>
        </w:tabs>
        <w:jc w:val="left"/>
      </w:pPr>
    </w:p>
    <w:p w14:paraId="1E37802A" w14:textId="7C0F31CB" w:rsidR="007C45C9" w:rsidRDefault="00AA7A75" w:rsidP="001B5EC7">
      <w:pPr>
        <w:pStyle w:val="BodyText"/>
        <w:spacing w:after="0" w:line="360" w:lineRule="auto"/>
        <w:ind w:left="1368" w:hanging="1008"/>
        <w:jc w:val="left"/>
        <w:rPr>
          <w:b w:val="0"/>
          <w:color w:val="000000" w:themeColor="text1"/>
        </w:rPr>
      </w:pPr>
      <w:r>
        <w:rPr>
          <w:b w:val="0"/>
          <w:color w:val="000000" w:themeColor="text1"/>
        </w:rPr>
        <w:t>W</w:t>
      </w:r>
      <w:r w:rsidR="007C45C9">
        <w:rPr>
          <w:b w:val="0"/>
          <w:color w:val="000000" w:themeColor="text1"/>
        </w:rPr>
        <w:t>here:</w:t>
      </w:r>
    </w:p>
    <w:p w14:paraId="49615B00" w14:textId="4FE84F50"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 xml:space="preserve">Energy = </w:t>
      </w:r>
      <w:r w:rsidRPr="001F165C">
        <w:rPr>
          <w:b w:val="0"/>
          <w:color w:val="000000" w:themeColor="text1"/>
        </w:rPr>
        <w:tab/>
        <w:t>annual energy use in a particular segment (e.g., commercial restaurant)</w:t>
      </w:r>
    </w:p>
    <w:p w14:paraId="36ECE000" w14:textId="36875668"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 xml:space="preserve">t           = </w:t>
      </w:r>
      <w:r w:rsidRPr="001F165C">
        <w:rPr>
          <w:b w:val="0"/>
          <w:color w:val="000000" w:themeColor="text1"/>
        </w:rPr>
        <w:tab/>
        <w:t>technology</w:t>
      </w:r>
    </w:p>
    <w:p w14:paraId="385A210A" w14:textId="60D165D1"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 xml:space="preserve">e          = </w:t>
      </w:r>
      <w:r w:rsidRPr="001F165C">
        <w:rPr>
          <w:b w:val="0"/>
          <w:color w:val="000000" w:themeColor="text1"/>
        </w:rPr>
        <w:tab/>
        <w:t xml:space="preserve">end use </w:t>
      </w:r>
    </w:p>
    <w:p w14:paraId="74B24995" w14:textId="2511DF79"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 xml:space="preserve">N         = </w:t>
      </w:r>
      <w:r w:rsidRPr="001F165C">
        <w:rPr>
          <w:b w:val="0"/>
          <w:color w:val="000000" w:themeColor="text1"/>
        </w:rPr>
        <w:tab/>
        <w:t xml:space="preserve">market size (e.g., amount of restaurant square footage) </w:t>
      </w:r>
    </w:p>
    <w:p w14:paraId="76BDC7DF" w14:textId="39B6E7B8"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lastRenderedPageBreak/>
        <w:t>Share</w:t>
      </w:r>
      <w:r w:rsidRPr="001F165C">
        <w:rPr>
          <w:b w:val="0"/>
          <w:color w:val="000000" w:themeColor="text1"/>
          <w:vertAlign w:val="subscript"/>
        </w:rPr>
        <w:t>t</w:t>
      </w:r>
      <w:r w:rsidRPr="001F165C">
        <w:rPr>
          <w:b w:val="0"/>
          <w:color w:val="000000" w:themeColor="text1"/>
        </w:rPr>
        <w:t xml:space="preserve">  = </w:t>
      </w:r>
      <w:r w:rsidRPr="001F165C">
        <w:rPr>
          <w:b w:val="0"/>
          <w:color w:val="000000" w:themeColor="text1"/>
        </w:rPr>
        <w:tab/>
        <w:t>share of market with the end use (e.g., restaurant floor space with the end use). This is also referred to as the end-use saturation.</w:t>
      </w:r>
    </w:p>
    <w:p w14:paraId="69A9A1D5" w14:textId="38E4519D"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UEC</w:t>
      </w:r>
      <w:r w:rsidRPr="001F165C">
        <w:rPr>
          <w:b w:val="0"/>
          <w:color w:val="000000" w:themeColor="text1"/>
          <w:vertAlign w:val="subscript"/>
        </w:rPr>
        <w:t>t</w:t>
      </w:r>
      <w:r w:rsidRPr="001F165C">
        <w:rPr>
          <w:b w:val="0"/>
          <w:color w:val="000000" w:themeColor="text1"/>
        </w:rPr>
        <w:t xml:space="preserve">   = </w:t>
      </w:r>
      <w:r w:rsidRPr="001F165C">
        <w:rPr>
          <w:b w:val="0"/>
          <w:color w:val="000000" w:themeColor="text1"/>
        </w:rPr>
        <w:tab/>
        <w:t>unit energy consumption in unit of market size (e.g., restaurant square footage) with the end use</w:t>
      </w:r>
    </w:p>
    <w:p w14:paraId="2BB250E8" w14:textId="0E8328AF" w:rsidR="001F165C" w:rsidRPr="001F165C" w:rsidRDefault="001F165C" w:rsidP="001B5EC7">
      <w:pPr>
        <w:pStyle w:val="BodyText"/>
        <w:spacing w:after="0" w:line="360" w:lineRule="auto"/>
        <w:ind w:left="1368" w:hanging="1008"/>
        <w:jc w:val="left"/>
        <w:rPr>
          <w:b w:val="0"/>
          <w:color w:val="000000" w:themeColor="text1"/>
        </w:rPr>
      </w:pPr>
      <w:r w:rsidRPr="001F165C">
        <w:rPr>
          <w:b w:val="0"/>
          <w:color w:val="000000" w:themeColor="text1"/>
        </w:rPr>
        <w:t>U</w:t>
      </w:r>
      <w:r w:rsidRPr="001F165C">
        <w:rPr>
          <w:b w:val="0"/>
          <w:color w:val="000000" w:themeColor="text1"/>
          <w:vertAlign w:val="subscript"/>
        </w:rPr>
        <w:t>e</w:t>
      </w:r>
      <w:r w:rsidRPr="001F165C">
        <w:rPr>
          <w:b w:val="0"/>
          <w:color w:val="000000" w:themeColor="text1"/>
        </w:rPr>
        <w:t xml:space="preserve">        = </w:t>
      </w:r>
      <w:r w:rsidRPr="001F165C">
        <w:rPr>
          <w:b w:val="0"/>
          <w:color w:val="000000" w:themeColor="text1"/>
        </w:rPr>
        <w:tab/>
        <w:t>utilization index (equals 1.0 in base year)</w:t>
      </w:r>
      <w:r w:rsidRPr="001F165C">
        <w:tab/>
      </w:r>
    </w:p>
    <w:p w14:paraId="72D696AA" w14:textId="77777777" w:rsidR="001F165C" w:rsidRDefault="001F165C" w:rsidP="001F165C">
      <w:pPr>
        <w:pStyle w:val="BodyText"/>
      </w:pPr>
    </w:p>
    <w:p w14:paraId="2D5EF56A" w14:textId="77777777" w:rsidR="001B5EC7" w:rsidRPr="001B5EC7" w:rsidRDefault="001B5EC7" w:rsidP="001B5EC7">
      <w:pPr>
        <w:pStyle w:val="BodyText"/>
        <w:spacing w:after="0"/>
        <w:ind w:left="1008" w:hanging="1008"/>
        <w:jc w:val="left"/>
        <w:rPr>
          <w:b w:val="0"/>
        </w:rPr>
      </w:pPr>
      <w:r w:rsidRPr="001B5EC7">
        <w:rPr>
          <w:b w:val="0"/>
        </w:rPr>
        <w:t xml:space="preserve">The elements of the central energy equation in the base year are contained in an </w:t>
      </w:r>
      <w:r w:rsidRPr="001B5EC7">
        <w:rPr>
          <w:b w:val="0"/>
          <w:iCs/>
        </w:rPr>
        <w:t>energy</w:t>
      </w:r>
      <w:r w:rsidRPr="001B5EC7">
        <w:rPr>
          <w:iCs/>
        </w:rPr>
        <w:t xml:space="preserve"> </w:t>
      </w:r>
      <w:r w:rsidRPr="001B5EC7">
        <w:rPr>
          <w:b w:val="0"/>
          <w:iCs/>
        </w:rPr>
        <w:t>market</w:t>
      </w:r>
      <w:r w:rsidRPr="001B5EC7">
        <w:rPr>
          <w:iCs/>
        </w:rPr>
        <w:t xml:space="preserve"> </w:t>
      </w:r>
      <w:r w:rsidRPr="001B5EC7">
        <w:rPr>
          <w:b w:val="0"/>
          <w:iCs/>
        </w:rPr>
        <w:t>profile</w:t>
      </w:r>
      <w:r w:rsidRPr="001B5EC7">
        <w:rPr>
          <w:b w:val="0"/>
        </w:rPr>
        <w:t>.</w:t>
      </w:r>
    </w:p>
    <w:p w14:paraId="2EF9AE83" w14:textId="77777777" w:rsidR="001F165C" w:rsidRDefault="001F165C" w:rsidP="002D2723">
      <w:pPr>
        <w:pStyle w:val="BodyText"/>
        <w:spacing w:after="0" w:line="360" w:lineRule="auto"/>
        <w:jc w:val="both"/>
        <w:rPr>
          <w:b w:val="0"/>
        </w:rPr>
      </w:pPr>
    </w:p>
    <w:p w14:paraId="3BA8AA9C" w14:textId="5978AB23" w:rsidR="001F165C" w:rsidRPr="00634EA8" w:rsidRDefault="00A05E4F" w:rsidP="002D2723">
      <w:pPr>
        <w:pStyle w:val="BodyText"/>
        <w:spacing w:after="0" w:line="360" w:lineRule="auto"/>
        <w:jc w:val="both"/>
        <w:rPr>
          <w:b w:val="0"/>
        </w:rPr>
      </w:pPr>
      <w:r>
        <w:rPr>
          <w:b w:val="0"/>
        </w:rPr>
        <w:t xml:space="preserve">The </w:t>
      </w:r>
      <w:r w:rsidR="00461837">
        <w:rPr>
          <w:b w:val="0"/>
        </w:rPr>
        <w:t>c</w:t>
      </w:r>
      <w:r>
        <w:rPr>
          <w:b w:val="0"/>
        </w:rPr>
        <w:t xml:space="preserve">ommercial LoadMAP model uses economic, fuel price, market data, operating characteristics, and weather information to produce the energy forecast for the commercial class. The economic variable used is floor space by building type. The square footage forecast is done in-house by SCS and utilizes historical and short-term forecast square footage data from Dodge Data </w:t>
      </w:r>
      <w:r w:rsidR="0067286E">
        <w:rPr>
          <w:b w:val="0"/>
        </w:rPr>
        <w:t xml:space="preserve">&amp; </w:t>
      </w:r>
      <w:r>
        <w:rPr>
          <w:b w:val="0"/>
        </w:rPr>
        <w:t>Analytics. It is the primary driver of energy consumption in the commercial class. Floor space is measured in square footage of building space.</w:t>
      </w:r>
      <w:r w:rsidR="00616255">
        <w:rPr>
          <w:b w:val="0"/>
        </w:rPr>
        <w:t xml:space="preserve"> </w:t>
      </w:r>
    </w:p>
    <w:p w14:paraId="50A60667" w14:textId="77777777" w:rsidR="001F165C" w:rsidRDefault="001F165C" w:rsidP="002D2723">
      <w:pPr>
        <w:pStyle w:val="BodyTextIndent"/>
        <w:spacing w:after="0" w:line="360" w:lineRule="auto"/>
        <w:ind w:left="0"/>
        <w:jc w:val="both"/>
      </w:pPr>
    </w:p>
    <w:p w14:paraId="0C506E32" w14:textId="23D103C7" w:rsidR="007F7F3D" w:rsidRPr="00E71F2D" w:rsidRDefault="00A05E4F" w:rsidP="002D2723">
      <w:pPr>
        <w:pStyle w:val="BodyTextIndent"/>
        <w:spacing w:after="0" w:line="360" w:lineRule="auto"/>
        <w:ind w:left="0"/>
        <w:jc w:val="both"/>
      </w:pPr>
      <w:r w:rsidRPr="00634EA8">
        <w:t>There are two types of share definitions. The whole building concept measures the share of floor</w:t>
      </w:r>
      <w:r>
        <w:t xml:space="preserve"> space in buildings with an end </w:t>
      </w:r>
      <w:r w:rsidRPr="00634EA8">
        <w:t>use</w:t>
      </w:r>
      <w:r w:rsidR="00CA2A51">
        <w:t>,</w:t>
      </w:r>
      <w:r w:rsidRPr="00634EA8">
        <w:t xml:space="preserve"> regardless of the portion of each building that is served by the end</w:t>
      </w:r>
      <w:r>
        <w:t xml:space="preserve"> </w:t>
      </w:r>
      <w:r w:rsidRPr="00634EA8">
        <w:t>use</w:t>
      </w:r>
      <w:r>
        <w:t>.</w:t>
      </w:r>
      <w:r w:rsidRPr="00634EA8">
        <w:t xml:space="preserve"> </w:t>
      </w:r>
      <w:r>
        <w:t>F</w:t>
      </w:r>
      <w:r w:rsidRPr="00634EA8">
        <w:t>or example, refrigeration in an office building</w:t>
      </w:r>
      <w:r>
        <w:t>. A building has or does not have refrigeration</w:t>
      </w:r>
      <w:r w:rsidRPr="00634EA8">
        <w:t>. The second share concept refers to conditioned floor space and accounts for the fraction of each building that is conditioned by the end</w:t>
      </w:r>
      <w:r>
        <w:t xml:space="preserve"> </w:t>
      </w:r>
      <w:r w:rsidRPr="00634EA8">
        <w:t xml:space="preserve">use (for example, air conditioning). The </w:t>
      </w:r>
      <w:r>
        <w:t>Energy Usage Index (“</w:t>
      </w:r>
      <w:r w:rsidRPr="00634EA8">
        <w:t>EUI</w:t>
      </w:r>
      <w:r>
        <w:t>”)</w:t>
      </w:r>
      <w:r w:rsidRPr="00634EA8">
        <w:t xml:space="preserve"> is the average annual energy per square foot of floor space tha</w:t>
      </w:r>
      <w:r>
        <w:t xml:space="preserve">t is served by a particular end </w:t>
      </w:r>
      <w:r w:rsidRPr="00634EA8">
        <w:t>use and fuel type. The usage index (“UI”) is an index measured relative to the base year that indicates the relative amount of energy service (e.g.</w:t>
      </w:r>
      <w:r w:rsidR="004F4F8A">
        <w:t>,</w:t>
      </w:r>
      <w:r w:rsidRPr="00634EA8">
        <w:t xml:space="preserve"> lighting) delivered for a specified end</w:t>
      </w:r>
      <w:r>
        <w:t xml:space="preserve"> </w:t>
      </w:r>
      <w:r w:rsidRPr="00634EA8">
        <w:t>use and fuel type within a particular building type. The UI is determined by consumer (occupant) behavior, equipment controls, weather, and other operating characteristics.</w:t>
      </w:r>
    </w:p>
    <w:p w14:paraId="04A0204D" w14:textId="77777777" w:rsidR="007F7F3D" w:rsidRDefault="007F7F3D" w:rsidP="002D2723">
      <w:pPr>
        <w:pStyle w:val="BodyTextIndent"/>
        <w:spacing w:after="0" w:line="360" w:lineRule="auto"/>
        <w:ind w:left="0"/>
        <w:jc w:val="both"/>
      </w:pPr>
    </w:p>
    <w:p w14:paraId="0E03DCED" w14:textId="47537CC1" w:rsidR="00E71F2D" w:rsidRPr="00E71F2D" w:rsidRDefault="00A05E4F" w:rsidP="002D2723">
      <w:pPr>
        <w:pStyle w:val="BodyTextIndent"/>
        <w:spacing w:after="0" w:line="360" w:lineRule="auto"/>
        <w:ind w:left="0"/>
        <w:jc w:val="both"/>
      </w:pPr>
      <w:r>
        <w:t>The information for each technology’s saturation, energy use intensity, intensity per square foot, and sales for each end use comprise the market profile of energy use for a particular building type/fuel type combination. Market profiles of energy use for a building type are developed for each fuel type. End-use energy consumption by technology, or sales, is the product of intensity per square foot and floor space. The product of the saturation and EUI is called the building intensity or intensity per square foot. Market profiles show this decomposition of energy use. The information for the market profiles in the current Georgia Power commercial model is derived from the DOE’s OpenStudio/Energy Plus building simulation model, EIA’s Commercial Buildings Energy Consumption Survey (</w:t>
      </w:r>
      <w:r w:rsidR="00D639BD">
        <w:t>“</w:t>
      </w:r>
      <w:r>
        <w:t>CBECS</w:t>
      </w:r>
      <w:r w:rsidR="00D639BD">
        <w:t>”</w:t>
      </w:r>
      <w:r>
        <w:t>)</w:t>
      </w:r>
      <w:r w:rsidR="004F4F8A">
        <w:t>,</w:t>
      </w:r>
      <w:r>
        <w:t xml:space="preserve"> and the </w:t>
      </w:r>
      <w:r w:rsidR="004F4F8A">
        <w:t>AEO</w:t>
      </w:r>
      <w:r>
        <w:t>’s national and regional data, and additional substitutes as developed by AEG.</w:t>
      </w:r>
      <w:r w:rsidR="007F7F3D" w:rsidRPr="00634EA8">
        <w:t xml:space="preserve"> </w:t>
      </w:r>
    </w:p>
    <w:p w14:paraId="73F5356D" w14:textId="77777777" w:rsidR="005212DF" w:rsidRPr="00634EA8" w:rsidRDefault="005212DF" w:rsidP="002D2723">
      <w:pPr>
        <w:pStyle w:val="BodyText"/>
        <w:spacing w:after="0" w:line="360" w:lineRule="auto"/>
        <w:jc w:val="both"/>
        <w:rPr>
          <w:b w:val="0"/>
        </w:rPr>
      </w:pPr>
    </w:p>
    <w:p w14:paraId="210F7B01" w14:textId="4A15EABC" w:rsidR="005212DF" w:rsidRPr="00634EA8" w:rsidRDefault="00771985" w:rsidP="00A823CA">
      <w:pPr>
        <w:pStyle w:val="BodyText"/>
        <w:spacing w:after="0" w:line="360" w:lineRule="auto"/>
        <w:jc w:val="both"/>
        <w:rPr>
          <w:b w:val="0"/>
        </w:rPr>
      </w:pPr>
      <w:r>
        <w:rPr>
          <w:b w:val="0"/>
        </w:rPr>
        <w:t>Since f</w:t>
      </w:r>
      <w:r w:rsidRPr="00634EA8">
        <w:rPr>
          <w:b w:val="0"/>
        </w:rPr>
        <w:t>uel share and EUIs reflect the choices among building and energy technology of investment decisions made by building owners, architects, and contractors at the time of new building construction or replacement of equipment</w:t>
      </w:r>
      <w:r>
        <w:rPr>
          <w:b w:val="0"/>
        </w:rPr>
        <w:t xml:space="preserve"> the model distinguishes between existing and new/replacement technology and </w:t>
      </w:r>
      <w:r>
        <w:rPr>
          <w:b w:val="0"/>
        </w:rPr>
        <w:lastRenderedPageBreak/>
        <w:t>buildings.</w:t>
      </w:r>
      <w:r w:rsidRPr="00634EA8">
        <w:rPr>
          <w:b w:val="0"/>
        </w:rPr>
        <w:t xml:space="preserve"> The choice of whether to include end-use equipment, along with which fuel</w:t>
      </w:r>
      <w:r>
        <w:rPr>
          <w:b w:val="0"/>
        </w:rPr>
        <w:t xml:space="preserve"> powers the</w:t>
      </w:r>
      <w:r w:rsidRPr="00634EA8">
        <w:rPr>
          <w:b w:val="0"/>
        </w:rPr>
        <w:t xml:space="preserve"> equipment or technology, affects fuel shares, end-use penetration, and energy consumption. Selection of building design options, energy-using equipment choice, building characteristics, and usage patterns determine the EUI for each fuel. Owner preferences, consumer behavior of the occupants of a building, and decisions made about the frequency and intensity of energy equipment use affect usage levels.</w:t>
      </w:r>
      <w:r w:rsidR="00616255">
        <w:rPr>
          <w:b w:val="0"/>
        </w:rPr>
        <w:t xml:space="preserve"> </w:t>
      </w:r>
    </w:p>
    <w:p w14:paraId="69EE981F" w14:textId="77777777" w:rsidR="005212DF" w:rsidRPr="00634EA8" w:rsidRDefault="005212DF" w:rsidP="007C0A1E">
      <w:pPr>
        <w:pStyle w:val="BodyText"/>
        <w:spacing w:after="0"/>
      </w:pPr>
    </w:p>
    <w:p w14:paraId="6CADE7A4" w14:textId="77777777" w:rsidR="00771985" w:rsidRDefault="00771985" w:rsidP="002D2723">
      <w:pPr>
        <w:pStyle w:val="BodyText"/>
        <w:spacing w:after="0" w:line="360" w:lineRule="auto"/>
        <w:jc w:val="both"/>
        <w:rPr>
          <w:b w:val="0"/>
        </w:rPr>
      </w:pPr>
      <w:r>
        <w:rPr>
          <w:b w:val="0"/>
        </w:rPr>
        <w:t>LoadMAP</w:t>
      </w:r>
      <w:r w:rsidRPr="00634EA8">
        <w:rPr>
          <w:b w:val="0"/>
        </w:rPr>
        <w:t xml:space="preserve"> uses a probabilistic</w:t>
      </w:r>
      <w:r>
        <w:rPr>
          <w:b w:val="0"/>
        </w:rPr>
        <w:t xml:space="preserve"> logit</w:t>
      </w:r>
      <w:r w:rsidRPr="00634EA8">
        <w:rPr>
          <w:b w:val="0"/>
        </w:rPr>
        <w:t xml:space="preserve"> method to model the decision process regarding which equipment system will be installed in a building. This </w:t>
      </w:r>
      <w:r>
        <w:rPr>
          <w:b w:val="0"/>
        </w:rPr>
        <w:t xml:space="preserve">selection </w:t>
      </w:r>
      <w:r w:rsidRPr="00634EA8">
        <w:rPr>
          <w:b w:val="0"/>
        </w:rPr>
        <w:t xml:space="preserve">is reduced to decisions related to the fuel and equipment efficiency decisions </w:t>
      </w:r>
      <w:r>
        <w:rPr>
          <w:b w:val="0"/>
        </w:rPr>
        <w:t>based on</w:t>
      </w:r>
      <w:r w:rsidRPr="00634EA8">
        <w:rPr>
          <w:b w:val="0"/>
        </w:rPr>
        <w:t xml:space="preserve"> operating and capital costs</w:t>
      </w:r>
      <w:r>
        <w:rPr>
          <w:b w:val="0"/>
        </w:rPr>
        <w:t>.</w:t>
      </w:r>
    </w:p>
    <w:p w14:paraId="2590627F" w14:textId="77777777" w:rsidR="00771985" w:rsidRDefault="00771985" w:rsidP="002D2723">
      <w:pPr>
        <w:pStyle w:val="BodyText"/>
        <w:spacing w:after="0" w:line="360" w:lineRule="auto"/>
        <w:jc w:val="both"/>
        <w:rPr>
          <w:b w:val="0"/>
        </w:rPr>
      </w:pPr>
    </w:p>
    <w:p w14:paraId="014ED766" w14:textId="1B6D72D3" w:rsidR="005212DF" w:rsidRPr="00634EA8" w:rsidRDefault="00771985" w:rsidP="002D2723">
      <w:pPr>
        <w:pStyle w:val="BodyText"/>
        <w:spacing w:after="0" w:line="360" w:lineRule="auto"/>
        <w:jc w:val="both"/>
        <w:rPr>
          <w:b w:val="0"/>
        </w:rPr>
      </w:pPr>
      <w:r>
        <w:rPr>
          <w:b w:val="0"/>
        </w:rPr>
        <w:t>As in the residential model, f</w:t>
      </w:r>
      <w:r w:rsidRPr="00634EA8">
        <w:rPr>
          <w:b w:val="0"/>
        </w:rPr>
        <w:t>uel prices and weather data are specific to the Georgia Power territory. Where Georgia Power</w:t>
      </w:r>
      <w:r w:rsidR="00EE5BF9">
        <w:rPr>
          <w:b w:val="0"/>
        </w:rPr>
        <w:t>-specific</w:t>
      </w:r>
      <w:r w:rsidRPr="00634EA8">
        <w:rPr>
          <w:b w:val="0"/>
        </w:rPr>
        <w:t xml:space="preserve"> data were not available, national and regional data were substituted.</w:t>
      </w:r>
      <w:r w:rsidRPr="00A03613">
        <w:rPr>
          <w:b w:val="0"/>
        </w:rPr>
        <w:t xml:space="preserve"> </w:t>
      </w:r>
      <w:r w:rsidRPr="009A578C">
        <w:rPr>
          <w:b w:val="0"/>
        </w:rPr>
        <w:t>Electricity and natural gas prices are forecasted for the commercial sector and used in</w:t>
      </w:r>
      <w:r>
        <w:rPr>
          <w:b w:val="0"/>
        </w:rPr>
        <w:t xml:space="preserve"> the </w:t>
      </w:r>
      <w:r w:rsidR="00461837">
        <w:rPr>
          <w:b w:val="0"/>
        </w:rPr>
        <w:t>c</w:t>
      </w:r>
      <w:r>
        <w:rPr>
          <w:b w:val="0"/>
        </w:rPr>
        <w:t>ommercial LoadMAP model.</w:t>
      </w:r>
    </w:p>
    <w:p w14:paraId="0BAC31F8" w14:textId="7BB6A71D" w:rsidR="005212DF" w:rsidRPr="00634EA8" w:rsidRDefault="005212DF" w:rsidP="002D2723">
      <w:pPr>
        <w:pStyle w:val="BodyText"/>
        <w:spacing w:after="0" w:line="360" w:lineRule="auto"/>
        <w:jc w:val="both"/>
      </w:pPr>
      <w:r w:rsidRPr="00634EA8">
        <w:rPr>
          <w:b w:val="0"/>
        </w:rPr>
        <w:t xml:space="preserve"> </w:t>
      </w:r>
    </w:p>
    <w:p w14:paraId="6805A52C" w14:textId="06F41B44" w:rsidR="000C7AAB" w:rsidRDefault="005212DF" w:rsidP="002D2723">
      <w:pPr>
        <w:pStyle w:val="BodyText"/>
        <w:spacing w:after="0" w:line="360" w:lineRule="auto"/>
        <w:jc w:val="both"/>
        <w:rPr>
          <w:b w:val="0"/>
        </w:rPr>
      </w:pPr>
      <w:r w:rsidRPr="00634EA8">
        <w:rPr>
          <w:b w:val="0"/>
        </w:rPr>
        <w:t>The historical energies for the commercial class are derived from Georgia Power</w:t>
      </w:r>
      <w:r w:rsidR="00FA555D">
        <w:rPr>
          <w:b w:val="0"/>
        </w:rPr>
        <w:t>-</w:t>
      </w:r>
      <w:r w:rsidRPr="00634EA8">
        <w:rPr>
          <w:b w:val="0"/>
        </w:rPr>
        <w:t xml:space="preserve">specific data, distinguishing each segment using </w:t>
      </w:r>
      <w:r w:rsidR="00352D1C">
        <w:rPr>
          <w:b w:val="0"/>
        </w:rPr>
        <w:t>North American Industry Classification System (“</w:t>
      </w:r>
      <w:r w:rsidRPr="00634EA8">
        <w:rPr>
          <w:b w:val="0"/>
        </w:rPr>
        <w:t>NAICS</w:t>
      </w:r>
      <w:r w:rsidR="00352D1C">
        <w:rPr>
          <w:b w:val="0"/>
        </w:rPr>
        <w:t>”)</w:t>
      </w:r>
      <w:r w:rsidRPr="00634EA8">
        <w:rPr>
          <w:b w:val="0"/>
        </w:rPr>
        <w:t xml:space="preserve"> codes.</w:t>
      </w:r>
    </w:p>
    <w:p w14:paraId="3B9E7E06" w14:textId="77777777" w:rsidR="005212DF" w:rsidRPr="009A578C" w:rsidRDefault="005212DF" w:rsidP="002D2723">
      <w:pPr>
        <w:pStyle w:val="BodyText"/>
        <w:spacing w:after="0" w:line="360" w:lineRule="auto"/>
        <w:jc w:val="both"/>
        <w:rPr>
          <w:b w:val="0"/>
        </w:rPr>
      </w:pPr>
      <w:r>
        <w:rPr>
          <w:b w:val="0"/>
        </w:rPr>
        <w:t xml:space="preserve"> </w:t>
      </w:r>
    </w:p>
    <w:p w14:paraId="4298BB53" w14:textId="1162D30B" w:rsidR="000C7AAB" w:rsidRPr="009A578C" w:rsidRDefault="00771985" w:rsidP="002D2723">
      <w:pPr>
        <w:pStyle w:val="BodyText"/>
        <w:spacing w:after="0" w:line="360" w:lineRule="auto"/>
        <w:jc w:val="both"/>
        <w:rPr>
          <w:b w:val="0"/>
        </w:rPr>
      </w:pPr>
      <w:r>
        <w:rPr>
          <w:b w:val="0"/>
        </w:rPr>
        <w:t>The model calibrates to the historical energy and segment information of the commercial class for the updated base year of 2016.</w:t>
      </w:r>
    </w:p>
    <w:p w14:paraId="785744E7" w14:textId="77777777" w:rsidR="000C7AAB" w:rsidRPr="009A578C" w:rsidRDefault="000C7AAB" w:rsidP="002D2723">
      <w:pPr>
        <w:pStyle w:val="BodyText"/>
        <w:spacing w:after="0" w:line="360" w:lineRule="auto"/>
        <w:jc w:val="both"/>
        <w:rPr>
          <w:b w:val="0"/>
        </w:rPr>
      </w:pPr>
    </w:p>
    <w:p w14:paraId="46FB4562" w14:textId="249883FF" w:rsidR="000C7AAB" w:rsidRPr="009A578C" w:rsidRDefault="00771985" w:rsidP="002D2723">
      <w:pPr>
        <w:pStyle w:val="BodyText"/>
        <w:spacing w:after="0" w:line="360" w:lineRule="auto"/>
        <w:jc w:val="both"/>
        <w:rPr>
          <w:b w:val="0"/>
        </w:rPr>
      </w:pPr>
      <w:r>
        <w:rPr>
          <w:b w:val="0"/>
        </w:rPr>
        <w:t>The commercial long-term forecast is modeled and presented on a calendar basis. The long-term calendar forecast is integrated with the short-term calendar forecast and then both are converted to a billing basis. Attachment 5.1.2-1 shows the unadjusted long-term calendar forecast, as well as the adjusted calendar and billing forecasts</w:t>
      </w:r>
      <w:r w:rsidR="006C46DE">
        <w:rPr>
          <w:b w:val="0"/>
        </w:rPr>
        <w:t>.</w:t>
      </w:r>
      <w:r>
        <w:rPr>
          <w:b w:val="0"/>
        </w:rPr>
        <w:t xml:space="preserve"> </w:t>
      </w:r>
      <w:r w:rsidR="006C46DE">
        <w:rPr>
          <w:b w:val="0"/>
        </w:rPr>
        <w:t>A</w:t>
      </w:r>
      <w:r>
        <w:rPr>
          <w:b w:val="0"/>
        </w:rPr>
        <w:t>djust</w:t>
      </w:r>
      <w:r w:rsidR="00995FBB">
        <w:rPr>
          <w:b w:val="0"/>
        </w:rPr>
        <w:t>ments</w:t>
      </w:r>
      <w:r>
        <w:rPr>
          <w:b w:val="0"/>
        </w:rPr>
        <w:t xml:space="preserve"> </w:t>
      </w:r>
      <w:r w:rsidR="006C46DE">
        <w:rPr>
          <w:b w:val="0"/>
        </w:rPr>
        <w:t>are made</w:t>
      </w:r>
      <w:r>
        <w:rPr>
          <w:b w:val="0"/>
        </w:rPr>
        <w:t xml:space="preserve"> for reductions in sales resulting from additional DSM programs, cogeneration</w:t>
      </w:r>
      <w:r w:rsidR="000B588E">
        <w:rPr>
          <w:b w:val="0"/>
        </w:rPr>
        <w:t>,</w:t>
      </w:r>
      <w:r>
        <w:rPr>
          <w:b w:val="0"/>
        </w:rPr>
        <w:t xml:space="preserve"> </w:t>
      </w:r>
      <w:r w:rsidR="000B588E">
        <w:rPr>
          <w:b w:val="0"/>
        </w:rPr>
        <w:t xml:space="preserve">the </w:t>
      </w:r>
      <w:r>
        <w:rPr>
          <w:b w:val="0"/>
        </w:rPr>
        <w:t>projected adoption of behind</w:t>
      </w:r>
      <w:r w:rsidR="000C3BBC">
        <w:rPr>
          <w:b w:val="0"/>
        </w:rPr>
        <w:t>-</w:t>
      </w:r>
      <w:r>
        <w:rPr>
          <w:b w:val="0"/>
        </w:rPr>
        <w:t>the</w:t>
      </w:r>
      <w:r w:rsidR="000C3BBC">
        <w:rPr>
          <w:b w:val="0"/>
        </w:rPr>
        <w:t>-</w:t>
      </w:r>
      <w:r>
        <w:rPr>
          <w:b w:val="0"/>
        </w:rPr>
        <w:t xml:space="preserve">meter solar and </w:t>
      </w:r>
      <w:r w:rsidR="008C5DD9">
        <w:rPr>
          <w:b w:val="0"/>
        </w:rPr>
        <w:t xml:space="preserve">for </w:t>
      </w:r>
      <w:r>
        <w:rPr>
          <w:b w:val="0"/>
        </w:rPr>
        <w:t>the additional sales resulting from</w:t>
      </w:r>
      <w:r w:rsidR="00C301CF">
        <w:rPr>
          <w:b w:val="0"/>
        </w:rPr>
        <w:t xml:space="preserve"> growth in</w:t>
      </w:r>
      <w:r>
        <w:rPr>
          <w:b w:val="0"/>
        </w:rPr>
        <w:t xml:space="preserve"> electric vehicles.</w:t>
      </w:r>
      <w:r w:rsidR="00685F4E">
        <w:rPr>
          <w:b w:val="0"/>
        </w:rPr>
        <w:t xml:space="preserve"> The amount of </w:t>
      </w:r>
      <w:r w:rsidR="005F5E24">
        <w:rPr>
          <w:b w:val="0"/>
        </w:rPr>
        <w:t>commerc</w:t>
      </w:r>
      <w:r w:rsidR="00685F4E">
        <w:rPr>
          <w:b w:val="0"/>
        </w:rPr>
        <w:t xml:space="preserve">ial cogeneration expected in Budget </w:t>
      </w:r>
      <w:r w:rsidR="008C5DD9">
        <w:rPr>
          <w:b w:val="0"/>
        </w:rPr>
        <w:t xml:space="preserve">2025 </w:t>
      </w:r>
      <w:r w:rsidR="00685F4E">
        <w:rPr>
          <w:b w:val="0"/>
        </w:rPr>
        <w:t>is presented in Attachment 5.1.2-5.</w:t>
      </w:r>
      <w:r w:rsidR="00086A34">
        <w:rPr>
          <w:b w:val="0"/>
        </w:rPr>
        <w:t xml:space="preserve"> </w:t>
      </w:r>
      <w:r w:rsidR="00D21711">
        <w:rPr>
          <w:b w:val="0"/>
        </w:rPr>
        <w:t xml:space="preserve">Currently, there are </w:t>
      </w:r>
      <w:r w:rsidR="00745975" w:rsidRPr="00861C2E">
        <w:rPr>
          <w:bCs/>
          <w:sz w:val="12"/>
          <w:szCs w:val="12"/>
        </w:rPr>
        <w:t>REDACTED</w:t>
      </w:r>
      <w:r w:rsidR="00745975">
        <w:rPr>
          <w:b w:val="0"/>
        </w:rPr>
        <w:t xml:space="preserve"> </w:t>
      </w:r>
      <w:r w:rsidR="00D21711">
        <w:rPr>
          <w:b w:val="0"/>
        </w:rPr>
        <w:t xml:space="preserve">commercial cogeneration projects </w:t>
      </w:r>
      <w:r w:rsidR="00BD28F5">
        <w:rPr>
          <w:b w:val="0"/>
        </w:rPr>
        <w:t xml:space="preserve">expected in 2025 and beyond. </w:t>
      </w:r>
      <w:r w:rsidR="00086A34" w:rsidRPr="00132BB2">
        <w:rPr>
          <w:b w:val="0"/>
        </w:rPr>
        <w:t xml:space="preserve">See </w:t>
      </w:r>
      <w:r w:rsidR="00B3486B">
        <w:rPr>
          <w:b w:val="0"/>
        </w:rPr>
        <w:t>S</w:t>
      </w:r>
      <w:r w:rsidR="00086A34" w:rsidRPr="00132BB2">
        <w:rPr>
          <w:b w:val="0"/>
        </w:rPr>
        <w:t xml:space="preserve">ection </w:t>
      </w:r>
      <w:r w:rsidR="00237E78">
        <w:rPr>
          <w:b w:val="0"/>
        </w:rPr>
        <w:t>9</w:t>
      </w:r>
      <w:r w:rsidR="00086A34" w:rsidRPr="00132BB2">
        <w:rPr>
          <w:b w:val="0"/>
        </w:rPr>
        <w:t>.4</w:t>
      </w:r>
      <w:r w:rsidR="00086A34">
        <w:rPr>
          <w:b w:val="0"/>
        </w:rPr>
        <w:t xml:space="preserve"> </w:t>
      </w:r>
      <w:r w:rsidR="00086A34" w:rsidRPr="00132BB2">
        <w:rPr>
          <w:b w:val="0"/>
        </w:rPr>
        <w:t>for more information on</w:t>
      </w:r>
      <w:r w:rsidR="00086A34">
        <w:rPr>
          <w:b w:val="0"/>
        </w:rPr>
        <w:t xml:space="preserve"> the</w:t>
      </w:r>
      <w:r w:rsidR="00086A34" w:rsidRPr="00132BB2">
        <w:rPr>
          <w:b w:val="0"/>
        </w:rPr>
        <w:t xml:space="preserve"> adjustments made to the peak demand </w:t>
      </w:r>
      <w:r w:rsidR="00086A34">
        <w:rPr>
          <w:b w:val="0"/>
        </w:rPr>
        <w:t xml:space="preserve">and energy </w:t>
      </w:r>
      <w:r w:rsidR="00086A34" w:rsidRPr="00132BB2">
        <w:rPr>
          <w:b w:val="0"/>
        </w:rPr>
        <w:t>forecast</w:t>
      </w:r>
      <w:r w:rsidR="00086A34">
        <w:rPr>
          <w:b w:val="0"/>
        </w:rPr>
        <w:t>s</w:t>
      </w:r>
      <w:r w:rsidR="00086A34" w:rsidRPr="00132BB2">
        <w:rPr>
          <w:b w:val="0"/>
        </w:rPr>
        <w:t>.</w:t>
      </w:r>
    </w:p>
    <w:p w14:paraId="30A196FF" w14:textId="77777777" w:rsidR="000C7AAB" w:rsidRPr="009A578C" w:rsidRDefault="000C7AAB" w:rsidP="002D2723">
      <w:pPr>
        <w:pStyle w:val="BodyText"/>
        <w:spacing w:after="0" w:line="360" w:lineRule="auto"/>
        <w:jc w:val="both"/>
        <w:rPr>
          <w:b w:val="0"/>
        </w:rPr>
      </w:pPr>
    </w:p>
    <w:p w14:paraId="18D56CD6" w14:textId="2B1CFF78" w:rsidR="00ED5C37" w:rsidRDefault="000C7AAB" w:rsidP="004971A6">
      <w:pPr>
        <w:pStyle w:val="BodyTextIndent"/>
        <w:spacing w:line="360" w:lineRule="auto"/>
        <w:ind w:left="0"/>
        <w:jc w:val="left"/>
      </w:pPr>
      <w:r w:rsidRPr="009A578C">
        <w:t>Several attachments follow</w:t>
      </w:r>
      <w:r w:rsidR="000F6C51">
        <w:t>,</w:t>
      </w:r>
      <w:r w:rsidRPr="009A578C">
        <w:t xml:space="preserve"> which comprise the Budget </w:t>
      </w:r>
      <w:r w:rsidR="0070501A" w:rsidRPr="009A578C">
        <w:t>20</w:t>
      </w:r>
      <w:r w:rsidR="0070501A">
        <w:t>25</w:t>
      </w:r>
      <w:r w:rsidR="0070501A" w:rsidRPr="009A578C">
        <w:t xml:space="preserve"> </w:t>
      </w:r>
      <w:r w:rsidRPr="009A578C">
        <w:t>Commercial Long-</w:t>
      </w:r>
      <w:r w:rsidR="000F6C51">
        <w:t>T</w:t>
      </w:r>
      <w:r w:rsidRPr="009A578C">
        <w:t>erm Forecast</w:t>
      </w:r>
      <w:r w:rsidR="00ED5C37">
        <w:t>.</w:t>
      </w:r>
    </w:p>
    <w:p w14:paraId="3FF90CD7" w14:textId="77777777" w:rsidR="00336E20" w:rsidRDefault="00336E20" w:rsidP="004971A6">
      <w:pPr>
        <w:pStyle w:val="BodyTextIndent"/>
        <w:spacing w:line="360" w:lineRule="auto"/>
        <w:ind w:left="0"/>
        <w:jc w:val="left"/>
        <w:rPr>
          <w:b/>
        </w:rPr>
        <w:sectPr w:rsidR="00336E20" w:rsidSect="00D61B1B">
          <w:pgSz w:w="12240" w:h="15840"/>
          <w:pgMar w:top="1440" w:right="1440" w:bottom="1440" w:left="1440" w:header="720" w:footer="720" w:gutter="0"/>
          <w:cols w:space="720"/>
          <w:docGrid w:linePitch="273"/>
        </w:sectPr>
      </w:pPr>
    </w:p>
    <w:p w14:paraId="47202921" w14:textId="4211CD2D" w:rsidR="005A29F9" w:rsidRDefault="005A29F9" w:rsidP="004971A6">
      <w:pPr>
        <w:pStyle w:val="BodyTextIndent"/>
        <w:spacing w:line="360" w:lineRule="auto"/>
        <w:ind w:left="0"/>
        <w:jc w:val="left"/>
        <w:rPr>
          <w:b/>
        </w:rPr>
      </w:pPr>
      <w:r>
        <w:rPr>
          <w:b/>
        </w:rPr>
        <w:lastRenderedPageBreak/>
        <w:t>Attachment 5.1.2-1: Total Commercial Energy Sales (GWh)</w:t>
      </w:r>
    </w:p>
    <w:p w14:paraId="37D6A5AA" w14:textId="77777777" w:rsidR="0068575E" w:rsidRDefault="0068575E" w:rsidP="0068575E">
      <w:pPr>
        <w:pStyle w:val="BodyTextIndent"/>
        <w:spacing w:after="0"/>
        <w:ind w:left="0"/>
        <w:rPr>
          <w:b/>
        </w:rPr>
      </w:pPr>
      <w:r>
        <w:rPr>
          <w:b/>
        </w:rPr>
        <w:t>Commercial Long-Term Forecast</w:t>
      </w:r>
    </w:p>
    <w:p w14:paraId="409E39F5" w14:textId="45BE8076" w:rsidR="0068575E" w:rsidRDefault="0068575E" w:rsidP="0068575E">
      <w:pPr>
        <w:pStyle w:val="BodyTextIndent"/>
        <w:spacing w:after="0"/>
        <w:ind w:left="0"/>
        <w:rPr>
          <w:b/>
        </w:rPr>
      </w:pPr>
      <w:r w:rsidRPr="0068575E">
        <w:rPr>
          <w:b/>
        </w:rPr>
        <w:t xml:space="preserve">Budget </w:t>
      </w:r>
      <w:r w:rsidR="009E08CD" w:rsidRPr="0068575E">
        <w:rPr>
          <w:b/>
        </w:rPr>
        <w:t>20</w:t>
      </w:r>
      <w:r w:rsidR="009E08CD">
        <w:rPr>
          <w:b/>
        </w:rPr>
        <w:t>25</w:t>
      </w:r>
    </w:p>
    <w:p w14:paraId="7F5FE55F" w14:textId="77777777" w:rsidR="00ED5C37" w:rsidRDefault="00ED5C37" w:rsidP="0068575E">
      <w:pPr>
        <w:pStyle w:val="BodyTextIndent"/>
        <w:spacing w:after="0"/>
        <w:ind w:left="0"/>
        <w:rPr>
          <w:b/>
        </w:rPr>
      </w:pPr>
    </w:p>
    <w:p w14:paraId="1122459F" w14:textId="7F7B736E" w:rsidR="0068575E" w:rsidRPr="0068575E" w:rsidRDefault="00A16C06" w:rsidP="0068575E">
      <w:pPr>
        <w:pStyle w:val="BodyTextIndent"/>
        <w:spacing w:after="0"/>
        <w:ind w:left="0"/>
        <w:rPr>
          <w:b/>
        </w:rPr>
      </w:pPr>
      <w:r w:rsidRPr="00A16C06">
        <w:rPr>
          <w:b/>
          <w:noProof/>
        </w:rPr>
        <w:drawing>
          <wp:inline distT="0" distB="0" distL="0" distR="0" wp14:anchorId="11FD3FBA" wp14:editId="7F94833B">
            <wp:extent cx="7143750" cy="4076700"/>
            <wp:effectExtent l="0" t="0" r="0" b="0"/>
            <wp:docPr id="107770059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7143750" cy="4076700"/>
                    </a:xfrm>
                    <a:prstGeom prst="rect">
                      <a:avLst/>
                    </a:prstGeom>
                    <a:noFill/>
                    <a:ln>
                      <a:noFill/>
                    </a:ln>
                  </pic:spPr>
                </pic:pic>
              </a:graphicData>
            </a:graphic>
          </wp:inline>
        </w:drawing>
      </w:r>
    </w:p>
    <w:p w14:paraId="7C48E2BC" w14:textId="556D1242" w:rsidR="00AA3A96" w:rsidRDefault="00AA3A96" w:rsidP="0068575E">
      <w:pPr>
        <w:pStyle w:val="BodyTextIndent"/>
        <w:spacing w:line="360" w:lineRule="auto"/>
        <w:ind w:left="0"/>
        <w:rPr>
          <w:noProof/>
        </w:rPr>
      </w:pPr>
    </w:p>
    <w:p w14:paraId="20A29DCC" w14:textId="77777777" w:rsidR="005A29F9" w:rsidRDefault="005A29F9" w:rsidP="004971A6">
      <w:pPr>
        <w:pStyle w:val="BodyTextIndent"/>
        <w:spacing w:line="360" w:lineRule="auto"/>
        <w:ind w:left="0"/>
        <w:jc w:val="left"/>
      </w:pPr>
    </w:p>
    <w:p w14:paraId="198C685D" w14:textId="37563221" w:rsidR="00BC7C3C" w:rsidRDefault="00BC7C3C" w:rsidP="00A94789">
      <w:pPr>
        <w:pStyle w:val="BodyTextIndent"/>
        <w:spacing w:line="360" w:lineRule="auto"/>
        <w:ind w:left="0"/>
        <w:jc w:val="both"/>
      </w:pPr>
      <w:r>
        <w:t xml:space="preserve">*In the following tables, values are based on the long-term </w:t>
      </w:r>
      <w:r w:rsidR="00FE5426">
        <w:t xml:space="preserve">calendar </w:t>
      </w:r>
      <w:r>
        <w:t>end-use model. No external adjustments were made.</w:t>
      </w:r>
    </w:p>
    <w:p w14:paraId="2F7DBA48" w14:textId="08F76B43" w:rsidR="005A29F9" w:rsidRDefault="009E08CD" w:rsidP="00235965">
      <w:pPr>
        <w:spacing w:after="200" w:line="276" w:lineRule="auto"/>
        <w:jc w:val="left"/>
      </w:pPr>
      <w:r>
        <w:rPr>
          <w:b w:val="0"/>
        </w:rPr>
        <w:br w:type="page"/>
      </w:r>
      <w:r w:rsidR="005A29F9">
        <w:lastRenderedPageBreak/>
        <w:t>Attachment 5.1.2-2: Sales by Building Type and Percentage of Class (GWh and Percentages)</w:t>
      </w:r>
    </w:p>
    <w:p w14:paraId="05603819" w14:textId="3321589D" w:rsidR="0068575E" w:rsidRDefault="0068575E" w:rsidP="0068575E">
      <w:pPr>
        <w:pStyle w:val="BodyTextIndent"/>
        <w:spacing w:after="0"/>
        <w:ind w:left="0"/>
        <w:rPr>
          <w:b/>
        </w:rPr>
      </w:pPr>
      <w:r>
        <w:rPr>
          <w:b/>
        </w:rPr>
        <w:t>Commercial Long-Term Forecast</w:t>
      </w:r>
      <w:r w:rsidR="007D3ADD">
        <w:rPr>
          <w:b/>
        </w:rPr>
        <w:t xml:space="preserve"> (LoadMAP-C)</w:t>
      </w:r>
      <w:r w:rsidR="00FC6AF5">
        <w:rPr>
          <w:b/>
        </w:rPr>
        <w:t xml:space="preserve"> Unadjusted</w:t>
      </w:r>
    </w:p>
    <w:p w14:paraId="5754C5B0" w14:textId="6B01D678" w:rsidR="0068575E" w:rsidRDefault="0068575E" w:rsidP="0068575E">
      <w:pPr>
        <w:pStyle w:val="BodyTextIndent"/>
        <w:spacing w:after="0"/>
        <w:ind w:left="0"/>
        <w:rPr>
          <w:b/>
        </w:rPr>
      </w:pPr>
      <w:r w:rsidRPr="0068575E">
        <w:rPr>
          <w:b/>
        </w:rPr>
        <w:t xml:space="preserve">Budget </w:t>
      </w:r>
      <w:r w:rsidR="009E08CD" w:rsidRPr="0068575E">
        <w:rPr>
          <w:b/>
        </w:rPr>
        <w:t>20</w:t>
      </w:r>
      <w:r w:rsidR="009E08CD">
        <w:rPr>
          <w:b/>
        </w:rPr>
        <w:t>25</w:t>
      </w:r>
    </w:p>
    <w:p w14:paraId="6A30CA06" w14:textId="77777777" w:rsidR="0065416F" w:rsidRDefault="0065416F" w:rsidP="0068575E">
      <w:pPr>
        <w:pStyle w:val="BodyTextIndent"/>
        <w:spacing w:after="0"/>
        <w:ind w:left="0"/>
        <w:rPr>
          <w:b/>
        </w:rPr>
      </w:pPr>
    </w:p>
    <w:p w14:paraId="09FC56BC" w14:textId="161124BA" w:rsidR="00AA3A96" w:rsidRDefault="00FD2820" w:rsidP="0068575E">
      <w:pPr>
        <w:pStyle w:val="BodyTextIndent"/>
        <w:spacing w:after="0"/>
        <w:ind w:left="0"/>
        <w:rPr>
          <w:b/>
          <w:noProof/>
        </w:rPr>
      </w:pPr>
      <w:r w:rsidRPr="00FD2820">
        <w:rPr>
          <w:b/>
          <w:noProof/>
        </w:rPr>
        <w:drawing>
          <wp:inline distT="0" distB="0" distL="0" distR="0" wp14:anchorId="750A813C" wp14:editId="67C44DE5">
            <wp:extent cx="8229600" cy="2084070"/>
            <wp:effectExtent l="0" t="0" r="0" b="0"/>
            <wp:docPr id="178400336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8229600" cy="2084070"/>
                    </a:xfrm>
                    <a:prstGeom prst="rect">
                      <a:avLst/>
                    </a:prstGeom>
                    <a:noFill/>
                    <a:ln>
                      <a:noFill/>
                    </a:ln>
                  </pic:spPr>
                </pic:pic>
              </a:graphicData>
            </a:graphic>
          </wp:inline>
        </w:drawing>
      </w:r>
    </w:p>
    <w:p w14:paraId="7C3341DD" w14:textId="77777777" w:rsidR="009E08CD" w:rsidRDefault="009E08CD" w:rsidP="0068575E">
      <w:pPr>
        <w:pStyle w:val="BodyTextIndent"/>
        <w:spacing w:after="0"/>
        <w:ind w:left="0"/>
        <w:rPr>
          <w:b/>
          <w:noProof/>
        </w:rPr>
      </w:pPr>
    </w:p>
    <w:p w14:paraId="6CC34741" w14:textId="5BF875CF" w:rsidR="0068575E" w:rsidRDefault="0068575E" w:rsidP="0068575E">
      <w:pPr>
        <w:pStyle w:val="BodyTextIndent"/>
        <w:spacing w:after="0"/>
        <w:ind w:left="0"/>
        <w:rPr>
          <w:b/>
        </w:rPr>
      </w:pPr>
    </w:p>
    <w:p w14:paraId="1A918B37" w14:textId="77777777" w:rsidR="0068575E" w:rsidRDefault="0068575E" w:rsidP="004971A6">
      <w:pPr>
        <w:pStyle w:val="BodyTextIndent"/>
        <w:spacing w:line="360" w:lineRule="auto"/>
        <w:ind w:left="0"/>
        <w:jc w:val="left"/>
        <w:sectPr w:rsidR="0068575E" w:rsidSect="007E245C">
          <w:pgSz w:w="15840" w:h="12240" w:orient="landscape"/>
          <w:pgMar w:top="1440" w:right="1440" w:bottom="1440" w:left="1440" w:header="720" w:footer="720" w:gutter="0"/>
          <w:cols w:space="720"/>
          <w:docGrid w:linePitch="273"/>
        </w:sectPr>
      </w:pPr>
    </w:p>
    <w:p w14:paraId="5C968788" w14:textId="77777777" w:rsidR="005A29F9" w:rsidRDefault="005A29F9" w:rsidP="004971A6">
      <w:pPr>
        <w:pStyle w:val="BodyTextIndent"/>
        <w:spacing w:line="360" w:lineRule="auto"/>
        <w:ind w:left="0"/>
        <w:jc w:val="left"/>
      </w:pPr>
      <w:r>
        <w:rPr>
          <w:b/>
        </w:rPr>
        <w:lastRenderedPageBreak/>
        <w:t>Attachment 5.1.2-3: Total Sales by End Use and Percentage (GWh and Percentages)</w:t>
      </w:r>
    </w:p>
    <w:p w14:paraId="15DA6259" w14:textId="26917F12" w:rsidR="007D3ADD" w:rsidRDefault="007D3ADD" w:rsidP="007D3ADD">
      <w:pPr>
        <w:pStyle w:val="BodyTextIndent"/>
        <w:spacing w:after="0"/>
        <w:ind w:left="0"/>
        <w:rPr>
          <w:b/>
        </w:rPr>
      </w:pPr>
      <w:r>
        <w:rPr>
          <w:b/>
        </w:rPr>
        <w:t>Commercial Long-Term Forecast (LoadMAP-C)</w:t>
      </w:r>
      <w:r w:rsidR="00FC6AF5">
        <w:rPr>
          <w:b/>
        </w:rPr>
        <w:t xml:space="preserve"> Unadjusted</w:t>
      </w:r>
    </w:p>
    <w:p w14:paraId="7FEAE471" w14:textId="6413D0DA" w:rsidR="002B6813" w:rsidRDefault="007D3ADD" w:rsidP="007D3ADD">
      <w:pPr>
        <w:pStyle w:val="BodyTextIndent"/>
        <w:spacing w:after="0"/>
        <w:ind w:left="0"/>
        <w:rPr>
          <w:b/>
        </w:rPr>
      </w:pPr>
      <w:r w:rsidRPr="0068575E">
        <w:rPr>
          <w:b/>
        </w:rPr>
        <w:t xml:space="preserve">Budget </w:t>
      </w:r>
      <w:r w:rsidR="009E08CD" w:rsidRPr="0068575E">
        <w:rPr>
          <w:b/>
        </w:rPr>
        <w:t>20</w:t>
      </w:r>
      <w:r w:rsidR="009E08CD">
        <w:rPr>
          <w:b/>
        </w:rPr>
        <w:t>25</w:t>
      </w:r>
    </w:p>
    <w:p w14:paraId="51385456" w14:textId="77777777" w:rsidR="007D3ADD" w:rsidRDefault="007D3ADD" w:rsidP="007D3ADD">
      <w:pPr>
        <w:pStyle w:val="BodyTextIndent"/>
        <w:spacing w:after="0"/>
        <w:ind w:left="0"/>
        <w:rPr>
          <w:b/>
        </w:rPr>
      </w:pPr>
    </w:p>
    <w:p w14:paraId="0D8BE720" w14:textId="7F6BDCC7" w:rsidR="009E08CD" w:rsidRDefault="00004714" w:rsidP="000E6669">
      <w:pPr>
        <w:spacing w:after="200" w:line="276" w:lineRule="auto"/>
        <w:rPr>
          <w:b w:val="0"/>
          <w:noProof/>
        </w:rPr>
      </w:pPr>
      <w:r w:rsidRPr="00004714">
        <w:rPr>
          <w:b w:val="0"/>
          <w:noProof/>
        </w:rPr>
        <w:drawing>
          <wp:inline distT="0" distB="0" distL="0" distR="0" wp14:anchorId="5FA0D262" wp14:editId="0B94C4C7">
            <wp:extent cx="8229600" cy="2577465"/>
            <wp:effectExtent l="0" t="0" r="0" b="0"/>
            <wp:docPr id="1194317667"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229600" cy="2577465"/>
                    </a:xfrm>
                    <a:prstGeom prst="rect">
                      <a:avLst/>
                    </a:prstGeom>
                    <a:noFill/>
                    <a:ln>
                      <a:noFill/>
                    </a:ln>
                  </pic:spPr>
                </pic:pic>
              </a:graphicData>
            </a:graphic>
          </wp:inline>
        </w:drawing>
      </w:r>
    </w:p>
    <w:p w14:paraId="6206AD13" w14:textId="53511A4B" w:rsidR="00FD5F54" w:rsidRDefault="00ED5C37" w:rsidP="000E6669">
      <w:pPr>
        <w:spacing w:after="200" w:line="276" w:lineRule="auto"/>
        <w:rPr>
          <w:b w:val="0"/>
          <w:noProof/>
        </w:rPr>
      </w:pPr>
      <w:r w:rsidRPr="00ED5C37">
        <w:rPr>
          <w:b w:val="0"/>
          <w:noProof/>
        </w:rPr>
        <w:t xml:space="preserve"> </w:t>
      </w:r>
    </w:p>
    <w:p w14:paraId="79084EDD" w14:textId="6967F4D6" w:rsidR="002300F7" w:rsidRDefault="002300F7" w:rsidP="000E6669">
      <w:pPr>
        <w:spacing w:after="200" w:line="276" w:lineRule="auto"/>
      </w:pPr>
      <w:r>
        <w:rPr>
          <w:b w:val="0"/>
        </w:rPr>
        <w:br w:type="page"/>
      </w:r>
    </w:p>
    <w:p w14:paraId="4EC67C81" w14:textId="77777777" w:rsidR="005A29F9" w:rsidRDefault="005A29F9" w:rsidP="004971A6">
      <w:pPr>
        <w:pStyle w:val="BodyTextIndent"/>
        <w:spacing w:line="360" w:lineRule="auto"/>
        <w:ind w:left="0"/>
        <w:jc w:val="left"/>
      </w:pPr>
      <w:r>
        <w:rPr>
          <w:b/>
        </w:rPr>
        <w:lastRenderedPageBreak/>
        <w:t>Attachment 5.1.2-4: Average Share of Market</w:t>
      </w:r>
    </w:p>
    <w:p w14:paraId="2FA34365" w14:textId="1EB5410E" w:rsidR="00484BD8" w:rsidRDefault="00484BD8" w:rsidP="00484BD8">
      <w:pPr>
        <w:pStyle w:val="BodyTextIndent"/>
        <w:spacing w:after="0"/>
        <w:ind w:left="0"/>
        <w:rPr>
          <w:b/>
        </w:rPr>
      </w:pPr>
      <w:r>
        <w:rPr>
          <w:b/>
        </w:rPr>
        <w:t>Commercial Long-Term Forecast (LoadMAP-C)</w:t>
      </w:r>
      <w:r w:rsidR="00115478">
        <w:rPr>
          <w:b/>
        </w:rPr>
        <w:t xml:space="preserve"> Unadjusted</w:t>
      </w:r>
    </w:p>
    <w:p w14:paraId="255D4E10" w14:textId="2CAAE3BB" w:rsidR="00484BD8" w:rsidRDefault="00484BD8" w:rsidP="00484BD8">
      <w:pPr>
        <w:pStyle w:val="BodyTextIndent"/>
        <w:spacing w:after="0"/>
        <w:ind w:left="0"/>
        <w:rPr>
          <w:b/>
        </w:rPr>
      </w:pPr>
      <w:r w:rsidRPr="0068575E">
        <w:rPr>
          <w:b/>
        </w:rPr>
        <w:t xml:space="preserve">Budget </w:t>
      </w:r>
      <w:r w:rsidR="00AD307D" w:rsidRPr="0068575E">
        <w:rPr>
          <w:b/>
        </w:rPr>
        <w:t>20</w:t>
      </w:r>
      <w:r w:rsidR="00AD307D">
        <w:rPr>
          <w:b/>
        </w:rPr>
        <w:t>25</w:t>
      </w:r>
    </w:p>
    <w:p w14:paraId="07888386" w14:textId="77777777" w:rsidR="00484BD8" w:rsidRDefault="00484BD8" w:rsidP="00484BD8">
      <w:pPr>
        <w:pStyle w:val="BodyTextIndent"/>
        <w:spacing w:after="0"/>
        <w:ind w:left="0"/>
        <w:rPr>
          <w:b/>
        </w:rPr>
      </w:pPr>
    </w:p>
    <w:p w14:paraId="64A29859" w14:textId="5231F8D9" w:rsidR="00AD307D" w:rsidRDefault="000929B3" w:rsidP="00484BD8">
      <w:pPr>
        <w:pStyle w:val="BodyTextIndent"/>
        <w:spacing w:after="0"/>
        <w:ind w:left="0"/>
        <w:rPr>
          <w:b/>
        </w:rPr>
      </w:pPr>
      <w:r w:rsidRPr="000929B3">
        <w:rPr>
          <w:b/>
          <w:noProof/>
        </w:rPr>
        <w:drawing>
          <wp:inline distT="0" distB="0" distL="0" distR="0" wp14:anchorId="2EC4F6AD" wp14:editId="47FC66E5">
            <wp:extent cx="7662545" cy="4443730"/>
            <wp:effectExtent l="0" t="0" r="0" b="0"/>
            <wp:docPr id="1007187606"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7662545" cy="4443730"/>
                    </a:xfrm>
                    <a:prstGeom prst="rect">
                      <a:avLst/>
                    </a:prstGeom>
                    <a:noFill/>
                    <a:ln>
                      <a:noFill/>
                    </a:ln>
                  </pic:spPr>
                </pic:pic>
              </a:graphicData>
            </a:graphic>
          </wp:inline>
        </w:drawing>
      </w:r>
    </w:p>
    <w:p w14:paraId="338D56B0" w14:textId="77777777" w:rsidR="00AD307D" w:rsidRDefault="00AD307D" w:rsidP="00484BD8">
      <w:pPr>
        <w:pStyle w:val="BodyTextIndent"/>
        <w:spacing w:after="0"/>
        <w:ind w:left="0"/>
        <w:rPr>
          <w:b/>
        </w:rPr>
      </w:pPr>
    </w:p>
    <w:p w14:paraId="4748D3D5" w14:textId="36198992" w:rsidR="000065CF" w:rsidRDefault="000065CF" w:rsidP="000E6669">
      <w:pPr>
        <w:spacing w:after="200" w:line="276" w:lineRule="auto"/>
        <w:rPr>
          <w:b w:val="0"/>
          <w:noProof/>
        </w:rPr>
      </w:pPr>
    </w:p>
    <w:p w14:paraId="1B2A58A4" w14:textId="786FC733" w:rsidR="002300F7" w:rsidRDefault="002300F7" w:rsidP="000E6669">
      <w:pPr>
        <w:spacing w:after="200" w:line="276" w:lineRule="auto"/>
      </w:pPr>
      <w:r>
        <w:rPr>
          <w:b w:val="0"/>
        </w:rPr>
        <w:br w:type="page"/>
      </w:r>
    </w:p>
    <w:p w14:paraId="42973E74" w14:textId="77777777" w:rsidR="001B5EC7" w:rsidRDefault="001B5EC7" w:rsidP="005A29F9">
      <w:pPr>
        <w:pStyle w:val="BodyTextIndent"/>
        <w:spacing w:line="360" w:lineRule="auto"/>
        <w:ind w:left="0"/>
        <w:jc w:val="left"/>
        <w:rPr>
          <w:b/>
        </w:rPr>
        <w:sectPr w:rsidR="001B5EC7" w:rsidSect="00DB7B2F">
          <w:pgSz w:w="15840" w:h="12240" w:orient="landscape"/>
          <w:pgMar w:top="1440" w:right="1440" w:bottom="1440" w:left="1440" w:header="720" w:footer="720" w:gutter="0"/>
          <w:cols w:space="720"/>
          <w:docGrid w:linePitch="273"/>
        </w:sectPr>
      </w:pPr>
    </w:p>
    <w:p w14:paraId="3F43CECB" w14:textId="4C512F9D" w:rsidR="005A29F9" w:rsidRPr="000616AF" w:rsidRDefault="005A29F9" w:rsidP="005A29F9">
      <w:pPr>
        <w:pStyle w:val="BodyTextIndent"/>
        <w:spacing w:line="360" w:lineRule="auto"/>
        <w:ind w:left="0"/>
        <w:jc w:val="left"/>
        <w:rPr>
          <w:b/>
        </w:rPr>
      </w:pPr>
      <w:r>
        <w:rPr>
          <w:b/>
        </w:rPr>
        <w:lastRenderedPageBreak/>
        <w:t>Attachment 5.1.2-</w:t>
      </w:r>
      <w:r w:rsidR="008B111A">
        <w:rPr>
          <w:b/>
        </w:rPr>
        <w:t>5</w:t>
      </w:r>
      <w:r>
        <w:rPr>
          <w:b/>
        </w:rPr>
        <w:t xml:space="preserve">: </w:t>
      </w:r>
      <w:r w:rsidR="000616AF">
        <w:rPr>
          <w:b/>
        </w:rPr>
        <w:t xml:space="preserve">Commercial </w:t>
      </w:r>
      <w:r w:rsidRPr="000616AF">
        <w:rPr>
          <w:b/>
        </w:rPr>
        <w:t>Cogeneration</w:t>
      </w:r>
      <w:r w:rsidR="000616AF" w:rsidRPr="000616AF">
        <w:rPr>
          <w:b/>
        </w:rPr>
        <w:t xml:space="preserve"> – Energy / Meter (GWh)</w:t>
      </w:r>
    </w:p>
    <w:p w14:paraId="276115BE" w14:textId="77777777" w:rsidR="00484BD8" w:rsidRDefault="00484BD8" w:rsidP="00484BD8">
      <w:pPr>
        <w:pStyle w:val="BodyTextIndent"/>
        <w:spacing w:after="0"/>
        <w:ind w:left="0"/>
        <w:rPr>
          <w:b/>
        </w:rPr>
      </w:pPr>
      <w:r>
        <w:rPr>
          <w:b/>
        </w:rPr>
        <w:t>Commercial Long-Term Forecast</w:t>
      </w:r>
    </w:p>
    <w:p w14:paraId="528BE540" w14:textId="6D71DF65" w:rsidR="005A29F9" w:rsidRDefault="00484BD8" w:rsidP="00484BD8">
      <w:pPr>
        <w:pStyle w:val="BodyTextIndent"/>
        <w:spacing w:after="0"/>
        <w:ind w:left="0"/>
        <w:rPr>
          <w:b/>
        </w:rPr>
      </w:pPr>
      <w:r w:rsidRPr="0068575E">
        <w:rPr>
          <w:b/>
        </w:rPr>
        <w:t xml:space="preserve">Budget </w:t>
      </w:r>
      <w:r w:rsidR="009E08CD" w:rsidRPr="0068575E">
        <w:rPr>
          <w:b/>
        </w:rPr>
        <w:t>20</w:t>
      </w:r>
      <w:r w:rsidR="009E08CD">
        <w:rPr>
          <w:b/>
        </w:rPr>
        <w:t>25</w:t>
      </w:r>
    </w:p>
    <w:p w14:paraId="5BE6B02D" w14:textId="52A492FB" w:rsidR="00484BD8" w:rsidRDefault="00484BD8" w:rsidP="00484BD8">
      <w:pPr>
        <w:pStyle w:val="BodyTextIndent"/>
        <w:spacing w:after="0"/>
        <w:ind w:left="0"/>
      </w:pPr>
    </w:p>
    <w:p w14:paraId="0EA7806D" w14:textId="10C84251" w:rsidR="00104030" w:rsidRDefault="00B11ECC" w:rsidP="00484BD8">
      <w:pPr>
        <w:pStyle w:val="BodyTextIndent"/>
        <w:spacing w:after="0"/>
        <w:ind w:left="0"/>
      </w:pPr>
      <w:r w:rsidRPr="00B11ECC">
        <w:rPr>
          <w:noProof/>
        </w:rPr>
        <w:drawing>
          <wp:inline distT="0" distB="0" distL="0" distR="0" wp14:anchorId="31F1307F" wp14:editId="2FAF1B16">
            <wp:extent cx="1353185" cy="4072255"/>
            <wp:effectExtent l="0" t="0" r="0" b="4445"/>
            <wp:docPr id="212025450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353185" cy="4072255"/>
                    </a:xfrm>
                    <a:prstGeom prst="rect">
                      <a:avLst/>
                    </a:prstGeom>
                    <a:noFill/>
                    <a:ln>
                      <a:noFill/>
                    </a:ln>
                  </pic:spPr>
                </pic:pic>
              </a:graphicData>
            </a:graphic>
          </wp:inline>
        </w:drawing>
      </w:r>
    </w:p>
    <w:p w14:paraId="1FDE402F" w14:textId="77777777" w:rsidR="009E08CD" w:rsidRDefault="009E08CD" w:rsidP="00484BD8">
      <w:pPr>
        <w:pStyle w:val="BodyTextIndent"/>
        <w:spacing w:after="0"/>
        <w:ind w:left="0"/>
      </w:pPr>
    </w:p>
    <w:p w14:paraId="092061B6" w14:textId="5F1760F9" w:rsidR="00F96648" w:rsidRDefault="00F96648" w:rsidP="00484BD8">
      <w:pPr>
        <w:pStyle w:val="BodyTextIndent"/>
        <w:spacing w:line="360" w:lineRule="auto"/>
        <w:ind w:left="0"/>
        <w:rPr>
          <w:noProof/>
        </w:rPr>
      </w:pPr>
    </w:p>
    <w:p w14:paraId="3C0185B7" w14:textId="64FE6717" w:rsidR="00484BD8" w:rsidRDefault="00484BD8" w:rsidP="00484BD8">
      <w:pPr>
        <w:pStyle w:val="BodyTextIndent"/>
        <w:spacing w:line="360" w:lineRule="auto"/>
        <w:ind w:left="0"/>
      </w:pPr>
    </w:p>
    <w:p w14:paraId="21738F61" w14:textId="77777777" w:rsidR="002300F7" w:rsidRDefault="002300F7">
      <w:pPr>
        <w:spacing w:after="200" w:line="276" w:lineRule="auto"/>
        <w:jc w:val="left"/>
        <w:rPr>
          <w:rFonts w:eastAsiaTheme="majorEastAsia"/>
          <w:bCs/>
        </w:rPr>
      </w:pPr>
      <w:bookmarkStart w:id="365" w:name="_Toc114629530"/>
      <w:bookmarkStart w:id="366" w:name="_Toc138581540"/>
      <w:bookmarkStart w:id="367" w:name="_Toc347120426"/>
      <w:r>
        <w:rPr>
          <w:b w:val="0"/>
        </w:rPr>
        <w:br w:type="page"/>
      </w:r>
    </w:p>
    <w:p w14:paraId="6950442B" w14:textId="77777777" w:rsidR="005A29F9" w:rsidRPr="005A29F9" w:rsidRDefault="005A29F9" w:rsidP="005A29F9">
      <w:pPr>
        <w:pStyle w:val="Heading2"/>
        <w:jc w:val="left"/>
        <w:rPr>
          <w:rFonts w:ascii="Arial" w:hAnsi="Arial" w:cs="Arial"/>
          <w:b/>
          <w:color w:val="auto"/>
          <w:sz w:val="20"/>
          <w:szCs w:val="20"/>
        </w:rPr>
      </w:pPr>
      <w:bookmarkStart w:id="368" w:name="_Toc188257152"/>
      <w:bookmarkStart w:id="369" w:name="_Toc188257367"/>
      <w:bookmarkStart w:id="370" w:name="_Toc188257591"/>
      <w:bookmarkStart w:id="371" w:name="_Toc189162600"/>
      <w:r w:rsidRPr="005A29F9">
        <w:rPr>
          <w:rFonts w:ascii="Arial" w:hAnsi="Arial" w:cs="Arial"/>
          <w:b/>
          <w:color w:val="auto"/>
          <w:sz w:val="20"/>
          <w:szCs w:val="20"/>
        </w:rPr>
        <w:lastRenderedPageBreak/>
        <w:t>5.1.3</w:t>
      </w:r>
      <w:r w:rsidRPr="005A29F9">
        <w:rPr>
          <w:rFonts w:ascii="Arial" w:hAnsi="Arial" w:cs="Arial"/>
          <w:b/>
          <w:color w:val="auto"/>
          <w:sz w:val="20"/>
          <w:szCs w:val="20"/>
        </w:rPr>
        <w:tab/>
        <w:t>Industrial Long-Term Energy Sales</w:t>
      </w:r>
      <w:bookmarkEnd w:id="365"/>
      <w:bookmarkEnd w:id="366"/>
      <w:bookmarkEnd w:id="367"/>
      <w:bookmarkEnd w:id="368"/>
      <w:bookmarkEnd w:id="369"/>
      <w:bookmarkEnd w:id="370"/>
      <w:bookmarkEnd w:id="371"/>
    </w:p>
    <w:p w14:paraId="47540DD9" w14:textId="77777777" w:rsidR="005A29F9" w:rsidRDefault="005A29F9" w:rsidP="00602686">
      <w:pPr>
        <w:pStyle w:val="BodyText"/>
        <w:jc w:val="both"/>
      </w:pPr>
    </w:p>
    <w:p w14:paraId="7EA40AB4" w14:textId="6E4ED01A" w:rsidR="00AC6029" w:rsidRDefault="00AC6029" w:rsidP="004B1880">
      <w:pPr>
        <w:pStyle w:val="BodyText"/>
        <w:spacing w:after="0" w:line="360" w:lineRule="auto"/>
        <w:jc w:val="both"/>
        <w:rPr>
          <w:b w:val="0"/>
        </w:rPr>
      </w:pPr>
      <w:r w:rsidRPr="00634EA8">
        <w:rPr>
          <w:b w:val="0"/>
        </w:rPr>
        <w:t>The long-term forecast of electric</w:t>
      </w:r>
      <w:r w:rsidR="00383F00">
        <w:rPr>
          <w:b w:val="0"/>
        </w:rPr>
        <w:t xml:space="preserve"> energy sales for Georgia Power</w:t>
      </w:r>
      <w:r w:rsidRPr="00634EA8">
        <w:rPr>
          <w:b w:val="0"/>
        </w:rPr>
        <w:t xml:space="preserve">’s </w:t>
      </w:r>
      <w:r>
        <w:rPr>
          <w:b w:val="0"/>
        </w:rPr>
        <w:t>industrial</w:t>
      </w:r>
      <w:r w:rsidRPr="00634EA8">
        <w:rPr>
          <w:b w:val="0"/>
        </w:rPr>
        <w:t xml:space="preserve"> class was produced using LoadMAP. </w:t>
      </w:r>
      <w:r>
        <w:rPr>
          <w:b w:val="0"/>
        </w:rPr>
        <w:t xml:space="preserve">The </w:t>
      </w:r>
      <w:r w:rsidR="00D41EB1">
        <w:rPr>
          <w:b w:val="0"/>
        </w:rPr>
        <w:t>i</w:t>
      </w:r>
      <w:r>
        <w:rPr>
          <w:b w:val="0"/>
        </w:rPr>
        <w:t>ndustrial LoadMAP model</w:t>
      </w:r>
      <w:r w:rsidRPr="00FB4548">
        <w:rPr>
          <w:b w:val="0"/>
        </w:rPr>
        <w:t xml:space="preserve"> </w:t>
      </w:r>
      <w:r w:rsidR="00E014D4">
        <w:rPr>
          <w:b w:val="0"/>
        </w:rPr>
        <w:t>is used</w:t>
      </w:r>
      <w:r w:rsidRPr="00FB4548">
        <w:rPr>
          <w:b w:val="0"/>
        </w:rPr>
        <w:t xml:space="preserve"> because of its capability to forecast at the end-use level and the increased effectiveness of resource utilization from using the </w:t>
      </w:r>
      <w:r>
        <w:rPr>
          <w:b w:val="0"/>
        </w:rPr>
        <w:t>LoadMAP</w:t>
      </w:r>
      <w:r w:rsidRPr="00FB4548">
        <w:rPr>
          <w:b w:val="0"/>
        </w:rPr>
        <w:t xml:space="preserve"> family of long-term forecasting models.</w:t>
      </w:r>
      <w:r w:rsidRPr="00D33A85">
        <w:rPr>
          <w:b w:val="0"/>
          <w:bCs/>
        </w:rPr>
        <w:t xml:space="preserve"> </w:t>
      </w:r>
      <w:r w:rsidR="001F6715">
        <w:rPr>
          <w:b w:val="0"/>
        </w:rPr>
        <w:t xml:space="preserve">The </w:t>
      </w:r>
      <w:r w:rsidR="00D41EB1">
        <w:rPr>
          <w:b w:val="0"/>
        </w:rPr>
        <w:t>i</w:t>
      </w:r>
      <w:r w:rsidR="001F6715">
        <w:rPr>
          <w:b w:val="0"/>
        </w:rPr>
        <w:t>ndustrial LoadMAP model</w:t>
      </w:r>
      <w:r w:rsidRPr="00634EA8">
        <w:rPr>
          <w:b w:val="0"/>
        </w:rPr>
        <w:t xml:space="preserve"> maintain</w:t>
      </w:r>
      <w:r w:rsidR="001F6715">
        <w:rPr>
          <w:b w:val="0"/>
        </w:rPr>
        <w:t>s</w:t>
      </w:r>
      <w:r w:rsidRPr="00634EA8">
        <w:rPr>
          <w:b w:val="0"/>
        </w:rPr>
        <w:t xml:space="preserve"> consistency with the conceptual framework of the residential and </w:t>
      </w:r>
      <w:r>
        <w:rPr>
          <w:b w:val="0"/>
        </w:rPr>
        <w:t>commercial</w:t>
      </w:r>
      <w:r w:rsidRPr="00634EA8">
        <w:rPr>
          <w:b w:val="0"/>
        </w:rPr>
        <w:t xml:space="preserve"> long-term models</w:t>
      </w:r>
      <w:r w:rsidR="001F6715">
        <w:rPr>
          <w:b w:val="0"/>
        </w:rPr>
        <w:t xml:space="preserve">, while providing information appropriate to the industrial class. </w:t>
      </w:r>
    </w:p>
    <w:p w14:paraId="763BA987" w14:textId="77777777" w:rsidR="00AC6029" w:rsidRPr="00634EA8" w:rsidRDefault="00AC6029" w:rsidP="004B1880">
      <w:pPr>
        <w:pStyle w:val="BodyText"/>
        <w:spacing w:after="0" w:line="360" w:lineRule="auto"/>
        <w:jc w:val="both"/>
      </w:pPr>
    </w:p>
    <w:p w14:paraId="69E38FE9" w14:textId="21D73844" w:rsidR="00AC6029" w:rsidRDefault="00F74C83" w:rsidP="004B1880">
      <w:pPr>
        <w:pStyle w:val="BodyText"/>
        <w:spacing w:after="0" w:line="360" w:lineRule="auto"/>
        <w:jc w:val="both"/>
        <w:rPr>
          <w:b w:val="0"/>
        </w:rPr>
      </w:pPr>
      <w:r w:rsidRPr="00634EA8">
        <w:rPr>
          <w:b w:val="0"/>
        </w:rPr>
        <w:t xml:space="preserve">The </w:t>
      </w:r>
      <w:r>
        <w:rPr>
          <w:b w:val="0"/>
        </w:rPr>
        <w:t>industrial</w:t>
      </w:r>
      <w:r w:rsidRPr="00634EA8">
        <w:rPr>
          <w:b w:val="0"/>
        </w:rPr>
        <w:t xml:space="preserve"> sector is segmented into </w:t>
      </w:r>
      <w:r w:rsidR="00D33A85">
        <w:rPr>
          <w:b w:val="0"/>
        </w:rPr>
        <w:t>11</w:t>
      </w:r>
      <w:r>
        <w:rPr>
          <w:b w:val="0"/>
        </w:rPr>
        <w:t xml:space="preserve"> categories</w:t>
      </w:r>
      <w:r w:rsidRPr="00634EA8">
        <w:rPr>
          <w:b w:val="0"/>
        </w:rPr>
        <w:t>,</w:t>
      </w:r>
      <w:r>
        <w:rPr>
          <w:b w:val="0"/>
        </w:rPr>
        <w:t xml:space="preserve"> based on the NAICS and nine</w:t>
      </w:r>
      <w:r w:rsidRPr="00634EA8">
        <w:rPr>
          <w:b w:val="0"/>
        </w:rPr>
        <w:t xml:space="preserve"> end</w:t>
      </w:r>
      <w:r>
        <w:rPr>
          <w:b w:val="0"/>
        </w:rPr>
        <w:t xml:space="preserve"> </w:t>
      </w:r>
      <w:r w:rsidRPr="00634EA8">
        <w:rPr>
          <w:b w:val="0"/>
        </w:rPr>
        <w:t>uses</w:t>
      </w:r>
      <w:r>
        <w:rPr>
          <w:b w:val="0"/>
        </w:rPr>
        <w:t xml:space="preserve">. </w:t>
      </w:r>
      <w:r w:rsidRPr="00634EA8">
        <w:rPr>
          <w:b w:val="0"/>
        </w:rPr>
        <w:t xml:space="preserve">The </w:t>
      </w:r>
      <w:r w:rsidR="00D33A85">
        <w:rPr>
          <w:b w:val="0"/>
        </w:rPr>
        <w:t>11</w:t>
      </w:r>
      <w:r w:rsidRPr="00634EA8">
        <w:rPr>
          <w:b w:val="0"/>
        </w:rPr>
        <w:t xml:space="preserve"> </w:t>
      </w:r>
      <w:r>
        <w:rPr>
          <w:b w:val="0"/>
        </w:rPr>
        <w:t xml:space="preserve">categories </w:t>
      </w:r>
      <w:r w:rsidRPr="00634EA8">
        <w:rPr>
          <w:b w:val="0"/>
        </w:rPr>
        <w:t>are:</w:t>
      </w:r>
    </w:p>
    <w:p w14:paraId="1AAA37F7" w14:textId="77777777" w:rsidR="00F74C83" w:rsidRDefault="00F74C83" w:rsidP="00F74C83">
      <w:pPr>
        <w:pStyle w:val="BodyText"/>
        <w:jc w:val="both"/>
        <w:rPr>
          <w:b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4680"/>
        <w:gridCol w:w="4680"/>
      </w:tblGrid>
      <w:tr w:rsidR="00F74C83" w:rsidRPr="00EB6813" w14:paraId="63D30122" w14:textId="77777777" w:rsidTr="004B1880">
        <w:tc>
          <w:tcPr>
            <w:tcW w:w="4680" w:type="dxa"/>
          </w:tcPr>
          <w:p w14:paraId="66DE2E3F" w14:textId="77777777" w:rsidR="00F74C83" w:rsidRPr="00FD14D2" w:rsidRDefault="00F74C83"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NAICS 321 &amp; 322 Forestry (Paper &amp; Lumber)</w:t>
            </w:r>
          </w:p>
        </w:tc>
        <w:tc>
          <w:tcPr>
            <w:tcW w:w="4680" w:type="dxa"/>
          </w:tcPr>
          <w:p w14:paraId="74A11C99" w14:textId="2C23C7CD" w:rsidR="00F74C83" w:rsidRPr="00FD14D2" w:rsidRDefault="00965CD6" w:rsidP="00F74C83">
            <w:pPr>
              <w:pStyle w:val="ListParagraph"/>
              <w:numPr>
                <w:ilvl w:val="0"/>
                <w:numId w:val="17"/>
              </w:numPr>
              <w:spacing w:after="0" w:line="240" w:lineRule="auto"/>
              <w:rPr>
                <w:rFonts w:ascii="Arial" w:eastAsiaTheme="minorEastAsia" w:hAnsi="Arial" w:cs="Arial"/>
                <w:sz w:val="20"/>
                <w:szCs w:val="20"/>
              </w:rPr>
            </w:pPr>
            <w:r w:rsidRPr="00FD14D2">
              <w:rPr>
                <w:rFonts w:ascii="Arial" w:hAnsi="Arial" w:cs="Arial"/>
                <w:sz w:val="20"/>
                <w:szCs w:val="20"/>
              </w:rPr>
              <w:t>NAICS 326 Rubber &amp; Plastics</w:t>
            </w:r>
            <w:r w:rsidRPr="00FD14D2" w:rsidDel="00965CD6">
              <w:rPr>
                <w:rFonts w:ascii="Arial" w:hAnsi="Arial" w:cs="Arial"/>
                <w:sz w:val="20"/>
                <w:szCs w:val="20"/>
              </w:rPr>
              <w:t xml:space="preserve"> </w:t>
            </w:r>
          </w:p>
        </w:tc>
      </w:tr>
      <w:tr w:rsidR="00F74C83" w:rsidRPr="00EB6813" w14:paraId="0196859A" w14:textId="77777777" w:rsidTr="004B1880">
        <w:tc>
          <w:tcPr>
            <w:tcW w:w="4680" w:type="dxa"/>
          </w:tcPr>
          <w:p w14:paraId="30DF5064" w14:textId="77777777" w:rsidR="00F74C83" w:rsidRPr="00FD14D2" w:rsidRDefault="00F74C83"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NAICS 325 Chemicals</w:t>
            </w:r>
          </w:p>
        </w:tc>
        <w:tc>
          <w:tcPr>
            <w:tcW w:w="4680" w:type="dxa"/>
          </w:tcPr>
          <w:p w14:paraId="021BDA68" w14:textId="77777777" w:rsidR="00F74C83" w:rsidRPr="00FD14D2" w:rsidRDefault="00F74C83" w:rsidP="00F74C83">
            <w:pPr>
              <w:pStyle w:val="ListParagraph"/>
              <w:numPr>
                <w:ilvl w:val="0"/>
                <w:numId w:val="17"/>
              </w:numPr>
              <w:spacing w:after="0" w:line="240" w:lineRule="auto"/>
              <w:rPr>
                <w:rFonts w:ascii="Arial" w:eastAsiaTheme="minorEastAsia" w:hAnsi="Arial" w:cs="Arial"/>
                <w:sz w:val="20"/>
                <w:szCs w:val="20"/>
              </w:rPr>
            </w:pPr>
            <w:r w:rsidRPr="00FD14D2">
              <w:rPr>
                <w:rFonts w:ascii="Arial" w:hAnsi="Arial" w:cs="Arial"/>
                <w:sz w:val="20"/>
                <w:szCs w:val="20"/>
              </w:rPr>
              <w:t>NAICS 336 Transportation</w:t>
            </w:r>
          </w:p>
        </w:tc>
      </w:tr>
      <w:tr w:rsidR="00F74C83" w:rsidRPr="00EB6813" w14:paraId="6864AEAD" w14:textId="77777777" w:rsidTr="004B1880">
        <w:tc>
          <w:tcPr>
            <w:tcW w:w="4680" w:type="dxa"/>
          </w:tcPr>
          <w:p w14:paraId="069012CF" w14:textId="73B4BCA4" w:rsidR="00F74C83" w:rsidRPr="00FD14D2" w:rsidRDefault="007522F4"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 xml:space="preserve">NAICS 313 &amp; 314 Textiles </w:t>
            </w:r>
          </w:p>
        </w:tc>
        <w:tc>
          <w:tcPr>
            <w:tcW w:w="4680" w:type="dxa"/>
          </w:tcPr>
          <w:p w14:paraId="602E399A" w14:textId="77B5D01E" w:rsidR="00F74C83" w:rsidRPr="00FD14D2" w:rsidRDefault="00965CD6" w:rsidP="00F74C83">
            <w:pPr>
              <w:pStyle w:val="ListParagraph"/>
              <w:numPr>
                <w:ilvl w:val="0"/>
                <w:numId w:val="17"/>
              </w:numPr>
              <w:spacing w:after="0" w:line="240" w:lineRule="auto"/>
              <w:rPr>
                <w:rFonts w:ascii="Arial" w:eastAsiaTheme="minorEastAsia" w:hAnsi="Arial" w:cs="Arial"/>
                <w:sz w:val="20"/>
                <w:szCs w:val="20"/>
              </w:rPr>
            </w:pPr>
            <w:r w:rsidRPr="00FD14D2">
              <w:rPr>
                <w:rFonts w:ascii="Arial" w:hAnsi="Arial" w:cs="Arial"/>
                <w:sz w:val="20"/>
                <w:szCs w:val="20"/>
              </w:rPr>
              <w:t>NAICS 331 &amp; 332 Metals</w:t>
            </w:r>
            <w:r w:rsidRPr="00FD14D2" w:rsidDel="009C156F">
              <w:rPr>
                <w:rFonts w:ascii="Arial" w:hAnsi="Arial" w:cs="Arial"/>
                <w:sz w:val="20"/>
                <w:szCs w:val="20"/>
              </w:rPr>
              <w:t xml:space="preserve"> </w:t>
            </w:r>
          </w:p>
        </w:tc>
      </w:tr>
      <w:tr w:rsidR="00F74C83" w:rsidRPr="00EB6813" w14:paraId="1E20C844" w14:textId="77777777" w:rsidTr="004B1880">
        <w:tc>
          <w:tcPr>
            <w:tcW w:w="4680" w:type="dxa"/>
          </w:tcPr>
          <w:p w14:paraId="798E1E2D" w14:textId="14FE0883" w:rsidR="00F74C83" w:rsidRPr="00FD14D2" w:rsidRDefault="007522F4"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NAICS 327 Stone, Clay, and Glass</w:t>
            </w:r>
          </w:p>
        </w:tc>
        <w:tc>
          <w:tcPr>
            <w:tcW w:w="4680" w:type="dxa"/>
          </w:tcPr>
          <w:p w14:paraId="5C28A3CD" w14:textId="77777777" w:rsidR="00F74C83" w:rsidRPr="00FD14D2" w:rsidRDefault="00F74C83" w:rsidP="00F74C83">
            <w:pPr>
              <w:pStyle w:val="ListParagraph"/>
              <w:numPr>
                <w:ilvl w:val="0"/>
                <w:numId w:val="17"/>
              </w:numPr>
              <w:spacing w:after="0" w:line="240" w:lineRule="auto"/>
              <w:rPr>
                <w:rFonts w:ascii="Arial" w:eastAsiaTheme="minorEastAsia" w:hAnsi="Arial" w:cs="Arial"/>
                <w:sz w:val="20"/>
                <w:szCs w:val="20"/>
              </w:rPr>
            </w:pPr>
            <w:r w:rsidRPr="00FD14D2">
              <w:rPr>
                <w:rFonts w:ascii="Arial" w:hAnsi="Arial" w:cs="Arial"/>
                <w:sz w:val="20"/>
                <w:szCs w:val="20"/>
              </w:rPr>
              <w:t>Other Industrial</w:t>
            </w:r>
          </w:p>
        </w:tc>
      </w:tr>
      <w:tr w:rsidR="00F74C83" w:rsidRPr="00EB6813" w14:paraId="08DB4754" w14:textId="77777777" w:rsidTr="004B1880">
        <w:tc>
          <w:tcPr>
            <w:tcW w:w="4680" w:type="dxa"/>
          </w:tcPr>
          <w:p w14:paraId="6AAF958B" w14:textId="77777777" w:rsidR="00F74C83" w:rsidRPr="00FD14D2" w:rsidRDefault="00F74C83"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NAICS 311 Food Production</w:t>
            </w:r>
          </w:p>
        </w:tc>
        <w:tc>
          <w:tcPr>
            <w:tcW w:w="4680" w:type="dxa"/>
          </w:tcPr>
          <w:p w14:paraId="6D08E237" w14:textId="77777777" w:rsidR="00F74C83" w:rsidRPr="00FD14D2" w:rsidRDefault="00F74C83" w:rsidP="00F74C83">
            <w:pPr>
              <w:pStyle w:val="ListParagraph"/>
              <w:numPr>
                <w:ilvl w:val="0"/>
                <w:numId w:val="17"/>
              </w:numPr>
              <w:spacing w:after="0" w:line="240" w:lineRule="auto"/>
              <w:rPr>
                <w:rFonts w:ascii="Arial" w:eastAsiaTheme="minorEastAsia" w:hAnsi="Arial" w:cs="Arial"/>
                <w:sz w:val="20"/>
                <w:szCs w:val="20"/>
              </w:rPr>
            </w:pPr>
            <w:r w:rsidRPr="00FD14D2">
              <w:rPr>
                <w:rFonts w:ascii="Arial" w:hAnsi="Arial" w:cs="Arial"/>
                <w:sz w:val="20"/>
                <w:szCs w:val="20"/>
              </w:rPr>
              <w:t>Unspecified</w:t>
            </w:r>
          </w:p>
        </w:tc>
      </w:tr>
      <w:tr w:rsidR="00F74C83" w:rsidRPr="00EB6813" w14:paraId="389202AE" w14:textId="77777777" w:rsidTr="004B1880">
        <w:tc>
          <w:tcPr>
            <w:tcW w:w="4680" w:type="dxa"/>
          </w:tcPr>
          <w:p w14:paraId="5F4C11FE" w14:textId="70993592" w:rsidR="00F74C83" w:rsidRPr="00FD14D2" w:rsidRDefault="009C156F" w:rsidP="00F74C83">
            <w:pPr>
              <w:pStyle w:val="ListParagraph"/>
              <w:numPr>
                <w:ilvl w:val="0"/>
                <w:numId w:val="18"/>
              </w:numPr>
              <w:spacing w:after="0" w:line="240" w:lineRule="auto"/>
              <w:rPr>
                <w:rFonts w:ascii="Arial" w:eastAsiaTheme="minorEastAsia" w:hAnsi="Arial" w:cs="Arial"/>
                <w:sz w:val="20"/>
                <w:szCs w:val="20"/>
              </w:rPr>
            </w:pPr>
            <w:r w:rsidRPr="00FD14D2">
              <w:rPr>
                <w:rFonts w:ascii="Arial" w:hAnsi="Arial" w:cs="Arial"/>
                <w:sz w:val="20"/>
                <w:szCs w:val="20"/>
              </w:rPr>
              <w:t xml:space="preserve">NAICS 486 Pipeline </w:t>
            </w:r>
          </w:p>
        </w:tc>
        <w:tc>
          <w:tcPr>
            <w:tcW w:w="4680" w:type="dxa"/>
          </w:tcPr>
          <w:p w14:paraId="045B2B1F" w14:textId="77777777" w:rsidR="00F74C83" w:rsidRPr="00FD14D2" w:rsidRDefault="00F74C83"/>
        </w:tc>
      </w:tr>
    </w:tbl>
    <w:p w14:paraId="547D8C73" w14:textId="58FF38F5" w:rsidR="00F74C83" w:rsidRPr="00B345D9" w:rsidRDefault="00F74C83" w:rsidP="00F74C83">
      <w:pPr>
        <w:spacing w:line="360" w:lineRule="auto"/>
      </w:pPr>
    </w:p>
    <w:p w14:paraId="5238EEB0" w14:textId="77777777" w:rsidR="00F74C83" w:rsidRPr="00B345D9" w:rsidRDefault="00F74C83" w:rsidP="00F74C83"/>
    <w:p w14:paraId="70E3F789" w14:textId="3199FC6D" w:rsidR="00F74C83" w:rsidRPr="00F74C83" w:rsidRDefault="00F74C83" w:rsidP="004B1880">
      <w:pPr>
        <w:pStyle w:val="BodyText"/>
        <w:spacing w:after="0" w:line="360" w:lineRule="auto"/>
        <w:jc w:val="both"/>
        <w:rPr>
          <w:b w:val="0"/>
          <w:bCs/>
        </w:rPr>
      </w:pPr>
      <w:r w:rsidRPr="00B345D9">
        <w:rPr>
          <w:b w:val="0"/>
          <w:bCs/>
        </w:rPr>
        <w:t>Segment 10, “Other Industrial</w:t>
      </w:r>
      <w:r w:rsidR="00FF43F0">
        <w:rPr>
          <w:b w:val="0"/>
          <w:bCs/>
        </w:rPr>
        <w:t>,</w:t>
      </w:r>
      <w:r w:rsidRPr="00B345D9">
        <w:rPr>
          <w:b w:val="0"/>
          <w:bCs/>
        </w:rPr>
        <w:t>” is comprised of multiple segments: Miscellaneous Manufacturing (NAICS 339</w:t>
      </w:r>
      <w:r w:rsidR="00FF43F0" w:rsidRPr="00B345D9">
        <w:rPr>
          <w:b w:val="0"/>
          <w:bCs/>
        </w:rPr>
        <w:t>)</w:t>
      </w:r>
      <w:r w:rsidR="00FF43F0">
        <w:rPr>
          <w:b w:val="0"/>
          <w:bCs/>
        </w:rPr>
        <w:t>;</w:t>
      </w:r>
      <w:r w:rsidR="00FF43F0" w:rsidRPr="00B345D9">
        <w:rPr>
          <w:b w:val="0"/>
          <w:bCs/>
        </w:rPr>
        <w:t xml:space="preserve"> </w:t>
      </w:r>
      <w:r w:rsidRPr="00B345D9">
        <w:rPr>
          <w:b w:val="0"/>
          <w:bCs/>
        </w:rPr>
        <w:t>Electrical Equipment, Appliances, and Components (NAICS 335</w:t>
      </w:r>
      <w:r w:rsidR="00FF43F0" w:rsidRPr="00B345D9">
        <w:rPr>
          <w:b w:val="0"/>
          <w:bCs/>
        </w:rPr>
        <w:t>)</w:t>
      </w:r>
      <w:r w:rsidR="00FF43F0">
        <w:rPr>
          <w:b w:val="0"/>
          <w:bCs/>
        </w:rPr>
        <w:t>;</w:t>
      </w:r>
      <w:r w:rsidR="00FF43F0" w:rsidRPr="00B345D9">
        <w:rPr>
          <w:b w:val="0"/>
          <w:bCs/>
        </w:rPr>
        <w:t xml:space="preserve"> </w:t>
      </w:r>
      <w:r w:rsidRPr="00B345D9">
        <w:rPr>
          <w:b w:val="0"/>
          <w:bCs/>
        </w:rPr>
        <w:t>Machinery (NAICS 333</w:t>
      </w:r>
      <w:r w:rsidR="00FF43F0" w:rsidRPr="00B345D9">
        <w:rPr>
          <w:b w:val="0"/>
          <w:bCs/>
        </w:rPr>
        <w:t>)</w:t>
      </w:r>
      <w:r w:rsidR="00FF43F0">
        <w:rPr>
          <w:b w:val="0"/>
          <w:bCs/>
        </w:rPr>
        <w:t>;</w:t>
      </w:r>
      <w:r w:rsidR="00FF43F0" w:rsidRPr="00B345D9">
        <w:rPr>
          <w:b w:val="0"/>
          <w:bCs/>
        </w:rPr>
        <w:t xml:space="preserve"> </w:t>
      </w:r>
      <w:r w:rsidRPr="00B345D9">
        <w:rPr>
          <w:b w:val="0"/>
          <w:bCs/>
        </w:rPr>
        <w:t>Furniture (NAICS 337</w:t>
      </w:r>
      <w:r w:rsidR="00FF43F0" w:rsidRPr="00B345D9">
        <w:rPr>
          <w:b w:val="0"/>
          <w:bCs/>
        </w:rPr>
        <w:t>)</w:t>
      </w:r>
      <w:r w:rsidR="00FF43F0">
        <w:rPr>
          <w:b w:val="0"/>
          <w:bCs/>
        </w:rPr>
        <w:t>;</w:t>
      </w:r>
      <w:r w:rsidR="00FF43F0" w:rsidRPr="00B345D9">
        <w:rPr>
          <w:b w:val="0"/>
          <w:bCs/>
        </w:rPr>
        <w:t xml:space="preserve"> </w:t>
      </w:r>
      <w:r w:rsidRPr="00B345D9">
        <w:rPr>
          <w:b w:val="0"/>
          <w:bCs/>
        </w:rPr>
        <w:t>Tobacco (NAICS 312</w:t>
      </w:r>
      <w:r w:rsidR="00FF43F0" w:rsidRPr="00B345D9">
        <w:rPr>
          <w:b w:val="0"/>
          <w:bCs/>
        </w:rPr>
        <w:t>)</w:t>
      </w:r>
      <w:r w:rsidR="00FF43F0">
        <w:rPr>
          <w:b w:val="0"/>
          <w:bCs/>
        </w:rPr>
        <w:t>;</w:t>
      </w:r>
      <w:r w:rsidR="00FF43F0" w:rsidRPr="00B345D9">
        <w:rPr>
          <w:b w:val="0"/>
          <w:bCs/>
        </w:rPr>
        <w:t xml:space="preserve"> </w:t>
      </w:r>
      <w:r w:rsidRPr="00B345D9">
        <w:rPr>
          <w:b w:val="0"/>
          <w:bCs/>
        </w:rPr>
        <w:t>Printing (NAICS 323</w:t>
      </w:r>
      <w:r w:rsidR="00FF43F0" w:rsidRPr="00B345D9">
        <w:rPr>
          <w:b w:val="0"/>
          <w:bCs/>
        </w:rPr>
        <w:t>)</w:t>
      </w:r>
      <w:r w:rsidR="00FF43F0">
        <w:rPr>
          <w:b w:val="0"/>
          <w:bCs/>
        </w:rPr>
        <w:t>;</w:t>
      </w:r>
      <w:r w:rsidR="00FF43F0" w:rsidRPr="00B345D9">
        <w:rPr>
          <w:b w:val="0"/>
          <w:bCs/>
        </w:rPr>
        <w:t xml:space="preserve"> </w:t>
      </w:r>
      <w:r w:rsidRPr="00B345D9">
        <w:rPr>
          <w:b w:val="0"/>
          <w:bCs/>
        </w:rPr>
        <w:t>Petroleum and Coal Products (NAICS 324</w:t>
      </w:r>
      <w:r w:rsidR="00FF43F0" w:rsidRPr="00B345D9">
        <w:rPr>
          <w:b w:val="0"/>
          <w:bCs/>
        </w:rPr>
        <w:t>)</w:t>
      </w:r>
      <w:r w:rsidR="00FF43F0">
        <w:rPr>
          <w:b w:val="0"/>
          <w:bCs/>
        </w:rPr>
        <w:t>;</w:t>
      </w:r>
      <w:r w:rsidR="00FF43F0" w:rsidRPr="00B345D9">
        <w:rPr>
          <w:b w:val="0"/>
          <w:bCs/>
        </w:rPr>
        <w:t xml:space="preserve"> </w:t>
      </w:r>
      <w:r w:rsidRPr="00B345D9">
        <w:rPr>
          <w:b w:val="0"/>
          <w:bCs/>
        </w:rPr>
        <w:t>Computer and Electronic Products (NAICS 334</w:t>
      </w:r>
      <w:r w:rsidR="00FF43F0" w:rsidRPr="00B345D9">
        <w:rPr>
          <w:b w:val="0"/>
          <w:bCs/>
        </w:rPr>
        <w:t>)</w:t>
      </w:r>
      <w:r w:rsidR="00FF43F0">
        <w:rPr>
          <w:b w:val="0"/>
          <w:bCs/>
        </w:rPr>
        <w:t>;</w:t>
      </w:r>
      <w:r w:rsidR="00FF43F0" w:rsidRPr="00B345D9">
        <w:rPr>
          <w:b w:val="0"/>
          <w:bCs/>
        </w:rPr>
        <w:t xml:space="preserve"> </w:t>
      </w:r>
      <w:r w:rsidRPr="00B345D9">
        <w:rPr>
          <w:b w:val="0"/>
          <w:bCs/>
        </w:rPr>
        <w:t>Apparel (NAICS 315</w:t>
      </w:r>
      <w:r w:rsidR="00FF43F0" w:rsidRPr="00B345D9">
        <w:rPr>
          <w:b w:val="0"/>
          <w:bCs/>
        </w:rPr>
        <w:t>)</w:t>
      </w:r>
      <w:r w:rsidR="00FF43F0">
        <w:rPr>
          <w:b w:val="0"/>
          <w:bCs/>
        </w:rPr>
        <w:t>;</w:t>
      </w:r>
      <w:r w:rsidR="00FF43F0" w:rsidRPr="00B345D9">
        <w:rPr>
          <w:b w:val="0"/>
          <w:bCs/>
        </w:rPr>
        <w:t xml:space="preserve"> </w:t>
      </w:r>
      <w:r w:rsidRPr="00B345D9">
        <w:rPr>
          <w:b w:val="0"/>
          <w:bCs/>
        </w:rPr>
        <w:t>and Leather and Allied Products (NAICS 316). Segment 11, the “Unspecified” category, comprises all remaining industrial activity.</w:t>
      </w:r>
    </w:p>
    <w:p w14:paraId="6A78A934" w14:textId="77777777" w:rsidR="00AC6029" w:rsidRDefault="00AC6029" w:rsidP="004B1880">
      <w:pPr>
        <w:pStyle w:val="BodyText"/>
        <w:spacing w:after="0" w:line="360" w:lineRule="auto"/>
        <w:rPr>
          <w:b w:val="0"/>
        </w:rPr>
      </w:pPr>
    </w:p>
    <w:p w14:paraId="23E1CAA5" w14:textId="181A2066" w:rsidR="0067503D" w:rsidRDefault="00C85644" w:rsidP="007C45C9">
      <w:pPr>
        <w:pStyle w:val="BodyText"/>
        <w:spacing w:after="0" w:line="360" w:lineRule="auto"/>
        <w:jc w:val="left"/>
        <w:rPr>
          <w:b w:val="0"/>
        </w:rPr>
      </w:pPr>
      <w:r>
        <w:rPr>
          <w:b w:val="0"/>
        </w:rPr>
        <w:t xml:space="preserve">The </w:t>
      </w:r>
      <w:r w:rsidR="00086A34">
        <w:rPr>
          <w:b w:val="0"/>
        </w:rPr>
        <w:t xml:space="preserve">nine </w:t>
      </w:r>
      <w:r>
        <w:rPr>
          <w:b w:val="0"/>
        </w:rPr>
        <w:t xml:space="preserve">end </w:t>
      </w:r>
      <w:r w:rsidR="00AC6029" w:rsidRPr="0027556E">
        <w:rPr>
          <w:b w:val="0"/>
        </w:rPr>
        <w:t xml:space="preserve">uses modeled for each of the </w:t>
      </w:r>
      <w:r w:rsidR="00AC6029">
        <w:rPr>
          <w:b w:val="0"/>
        </w:rPr>
        <w:t>NAICS</w:t>
      </w:r>
      <w:r w:rsidR="00AC6029" w:rsidRPr="0027556E">
        <w:rPr>
          <w:b w:val="0"/>
        </w:rPr>
        <w:t xml:space="preserve"> categories listed above are</w:t>
      </w:r>
      <w:r w:rsidR="00AC6029" w:rsidRPr="00634EA8">
        <w:rPr>
          <w:b w:val="0"/>
        </w:rPr>
        <w:t>:</w:t>
      </w:r>
    </w:p>
    <w:p w14:paraId="63A45501" w14:textId="77777777" w:rsidR="007C45C9" w:rsidRDefault="007C45C9" w:rsidP="004B1880">
      <w:pPr>
        <w:pStyle w:val="BodyText"/>
        <w:spacing w:after="0" w:line="360" w:lineRule="auto"/>
        <w:jc w:val="left"/>
        <w:rPr>
          <w:b w:val="0"/>
        </w:rPr>
      </w:pPr>
    </w:p>
    <w:tbl>
      <w:tblPr>
        <w:tblW w:w="0" w:type="auto"/>
        <w:jc w:val="center"/>
        <w:tblLayout w:type="fixed"/>
        <w:tblLook w:val="0000" w:firstRow="0" w:lastRow="0" w:firstColumn="0" w:lastColumn="0" w:noHBand="0" w:noVBand="0"/>
      </w:tblPr>
      <w:tblGrid>
        <w:gridCol w:w="3960"/>
        <w:gridCol w:w="3618"/>
      </w:tblGrid>
      <w:tr w:rsidR="0067503D" w:rsidRPr="00634EA8" w14:paraId="1A6AF188" w14:textId="77777777">
        <w:trPr>
          <w:jc w:val="center"/>
        </w:trPr>
        <w:tc>
          <w:tcPr>
            <w:tcW w:w="3960" w:type="dxa"/>
          </w:tcPr>
          <w:p w14:paraId="075E5151" w14:textId="77777777" w:rsidR="0067503D" w:rsidRPr="0067503D" w:rsidRDefault="0067503D" w:rsidP="0067503D">
            <w:pPr>
              <w:jc w:val="left"/>
              <w:rPr>
                <w:b w:val="0"/>
                <w:bCs/>
              </w:rPr>
            </w:pPr>
            <w:r w:rsidRPr="0067503D">
              <w:rPr>
                <w:b w:val="0"/>
                <w:bCs/>
              </w:rPr>
              <w:t>1.</w:t>
            </w:r>
            <w:r w:rsidRPr="0067503D">
              <w:rPr>
                <w:b w:val="0"/>
                <w:bCs/>
              </w:rPr>
              <w:tab/>
              <w:t xml:space="preserve">Cooling </w:t>
            </w:r>
          </w:p>
        </w:tc>
        <w:tc>
          <w:tcPr>
            <w:tcW w:w="3618" w:type="dxa"/>
          </w:tcPr>
          <w:p w14:paraId="48624B3F" w14:textId="77777777" w:rsidR="0067503D" w:rsidRPr="0067503D" w:rsidRDefault="0067503D" w:rsidP="0067503D">
            <w:pPr>
              <w:jc w:val="left"/>
              <w:rPr>
                <w:b w:val="0"/>
                <w:bCs/>
              </w:rPr>
            </w:pPr>
            <w:r w:rsidRPr="0067503D">
              <w:rPr>
                <w:b w:val="0"/>
                <w:bCs/>
              </w:rPr>
              <w:t xml:space="preserve"> 6.</w:t>
            </w:r>
            <w:r w:rsidRPr="0067503D">
              <w:rPr>
                <w:b w:val="0"/>
                <w:bCs/>
              </w:rPr>
              <w:tab/>
              <w:t xml:space="preserve"> Process</w:t>
            </w:r>
          </w:p>
        </w:tc>
      </w:tr>
      <w:tr w:rsidR="0067503D" w:rsidRPr="00634EA8" w14:paraId="7DA07C94" w14:textId="77777777">
        <w:trPr>
          <w:jc w:val="center"/>
        </w:trPr>
        <w:tc>
          <w:tcPr>
            <w:tcW w:w="3960" w:type="dxa"/>
          </w:tcPr>
          <w:p w14:paraId="13C0BB10" w14:textId="77777777" w:rsidR="0067503D" w:rsidRPr="0067503D" w:rsidRDefault="0067503D" w:rsidP="0067503D">
            <w:pPr>
              <w:jc w:val="left"/>
              <w:rPr>
                <w:b w:val="0"/>
                <w:bCs/>
              </w:rPr>
            </w:pPr>
            <w:r w:rsidRPr="0067503D">
              <w:rPr>
                <w:b w:val="0"/>
                <w:bCs/>
              </w:rPr>
              <w:t>2.</w:t>
            </w:r>
            <w:r w:rsidRPr="0067503D">
              <w:rPr>
                <w:b w:val="0"/>
                <w:bCs/>
              </w:rPr>
              <w:tab/>
              <w:t>Heating</w:t>
            </w:r>
          </w:p>
        </w:tc>
        <w:tc>
          <w:tcPr>
            <w:tcW w:w="3618" w:type="dxa"/>
          </w:tcPr>
          <w:p w14:paraId="63D50151" w14:textId="77777777" w:rsidR="0067503D" w:rsidRPr="0067503D" w:rsidRDefault="0067503D" w:rsidP="0067503D">
            <w:pPr>
              <w:jc w:val="left"/>
              <w:rPr>
                <w:b w:val="0"/>
                <w:bCs/>
              </w:rPr>
            </w:pPr>
            <w:r w:rsidRPr="0067503D">
              <w:rPr>
                <w:b w:val="0"/>
                <w:bCs/>
              </w:rPr>
              <w:t xml:space="preserve"> 7.</w:t>
            </w:r>
            <w:r w:rsidRPr="0067503D">
              <w:rPr>
                <w:b w:val="0"/>
                <w:bCs/>
              </w:rPr>
              <w:tab/>
              <w:t xml:space="preserve"> Ventilation</w:t>
            </w:r>
          </w:p>
        </w:tc>
      </w:tr>
      <w:tr w:rsidR="0067503D" w:rsidRPr="00634EA8" w14:paraId="0D679BCC" w14:textId="77777777">
        <w:trPr>
          <w:jc w:val="center"/>
        </w:trPr>
        <w:tc>
          <w:tcPr>
            <w:tcW w:w="3960" w:type="dxa"/>
          </w:tcPr>
          <w:p w14:paraId="10D83926" w14:textId="6F9A628F" w:rsidR="0067503D" w:rsidRPr="0067503D" w:rsidRDefault="0067503D" w:rsidP="0067503D">
            <w:pPr>
              <w:jc w:val="left"/>
              <w:rPr>
                <w:b w:val="0"/>
                <w:bCs/>
              </w:rPr>
            </w:pPr>
            <w:r w:rsidRPr="0067503D">
              <w:rPr>
                <w:b w:val="0"/>
                <w:bCs/>
              </w:rPr>
              <w:t>3.</w:t>
            </w:r>
            <w:r w:rsidRPr="0067503D" w:rsidDel="00616255">
              <w:rPr>
                <w:b w:val="0"/>
                <w:bCs/>
              </w:rPr>
              <w:t xml:space="preserve">  </w:t>
            </w:r>
            <w:r w:rsidR="00616255">
              <w:rPr>
                <w:b w:val="0"/>
                <w:bCs/>
              </w:rPr>
              <w:t xml:space="preserve"> </w:t>
            </w:r>
            <w:r w:rsidRPr="0067503D" w:rsidDel="00616255">
              <w:rPr>
                <w:b w:val="0"/>
                <w:bCs/>
              </w:rPr>
              <w:t xml:space="preserve">  </w:t>
            </w:r>
            <w:r w:rsidR="00616255">
              <w:rPr>
                <w:b w:val="0"/>
                <w:bCs/>
              </w:rPr>
              <w:t xml:space="preserve"> </w:t>
            </w:r>
            <w:r w:rsidRPr="0067503D" w:rsidDel="00616255">
              <w:rPr>
                <w:b w:val="0"/>
                <w:bCs/>
              </w:rPr>
              <w:t xml:space="preserve">  </w:t>
            </w:r>
            <w:r w:rsidR="00616255">
              <w:rPr>
                <w:b w:val="0"/>
                <w:bCs/>
              </w:rPr>
              <w:t xml:space="preserve"> </w:t>
            </w:r>
            <w:r w:rsidRPr="0067503D" w:rsidDel="00616255">
              <w:rPr>
                <w:b w:val="0"/>
                <w:bCs/>
              </w:rPr>
              <w:t xml:space="preserve"> </w:t>
            </w:r>
            <w:r w:rsidRPr="0067503D">
              <w:rPr>
                <w:b w:val="0"/>
                <w:bCs/>
              </w:rPr>
              <w:t>Indoor Lighting</w:t>
            </w:r>
          </w:p>
        </w:tc>
        <w:tc>
          <w:tcPr>
            <w:tcW w:w="3618" w:type="dxa"/>
          </w:tcPr>
          <w:p w14:paraId="52151230" w14:textId="77777777" w:rsidR="0067503D" w:rsidRPr="0067503D" w:rsidRDefault="0067503D" w:rsidP="0067503D">
            <w:pPr>
              <w:jc w:val="left"/>
              <w:rPr>
                <w:b w:val="0"/>
                <w:bCs/>
              </w:rPr>
            </w:pPr>
            <w:r w:rsidRPr="0067503D">
              <w:rPr>
                <w:b w:val="0"/>
                <w:bCs/>
              </w:rPr>
              <w:t xml:space="preserve"> 8.</w:t>
            </w:r>
            <w:r w:rsidRPr="0067503D">
              <w:rPr>
                <w:b w:val="0"/>
                <w:bCs/>
              </w:rPr>
              <w:tab/>
              <w:t xml:space="preserve"> Miscellaneous</w:t>
            </w:r>
          </w:p>
        </w:tc>
      </w:tr>
      <w:tr w:rsidR="0067503D" w:rsidRPr="00634EA8" w14:paraId="0246DFA2" w14:textId="77777777">
        <w:trPr>
          <w:jc w:val="center"/>
        </w:trPr>
        <w:tc>
          <w:tcPr>
            <w:tcW w:w="3960" w:type="dxa"/>
          </w:tcPr>
          <w:p w14:paraId="5AD0AB36" w14:textId="41FC2F6D" w:rsidR="0067503D" w:rsidRPr="0067503D" w:rsidRDefault="0067503D" w:rsidP="0067503D">
            <w:pPr>
              <w:jc w:val="left"/>
              <w:rPr>
                <w:b w:val="0"/>
                <w:bCs/>
              </w:rPr>
            </w:pPr>
            <w:r w:rsidRPr="0067503D">
              <w:rPr>
                <w:b w:val="0"/>
                <w:bCs/>
              </w:rPr>
              <w:t>4.</w:t>
            </w:r>
            <w:r w:rsidRPr="0067503D" w:rsidDel="00616255">
              <w:rPr>
                <w:b w:val="0"/>
                <w:bCs/>
              </w:rPr>
              <w:t xml:space="preserve">  </w:t>
            </w:r>
            <w:r w:rsidR="00616255">
              <w:rPr>
                <w:b w:val="0"/>
                <w:bCs/>
              </w:rPr>
              <w:t xml:space="preserve"> </w:t>
            </w:r>
            <w:r w:rsidRPr="0067503D" w:rsidDel="00616255">
              <w:rPr>
                <w:b w:val="0"/>
                <w:bCs/>
              </w:rPr>
              <w:t xml:space="preserve">  </w:t>
            </w:r>
            <w:r w:rsidR="00616255">
              <w:rPr>
                <w:b w:val="0"/>
                <w:bCs/>
              </w:rPr>
              <w:t xml:space="preserve"> </w:t>
            </w:r>
            <w:r w:rsidRPr="0067503D" w:rsidDel="00616255">
              <w:rPr>
                <w:b w:val="0"/>
                <w:bCs/>
              </w:rPr>
              <w:t xml:space="preserve">  </w:t>
            </w:r>
            <w:r w:rsidR="00616255">
              <w:rPr>
                <w:b w:val="0"/>
                <w:bCs/>
              </w:rPr>
              <w:t xml:space="preserve"> </w:t>
            </w:r>
            <w:r w:rsidRPr="0067503D" w:rsidDel="00616255">
              <w:rPr>
                <w:b w:val="0"/>
                <w:bCs/>
              </w:rPr>
              <w:t xml:space="preserve"> </w:t>
            </w:r>
            <w:r w:rsidRPr="0067503D">
              <w:rPr>
                <w:b w:val="0"/>
                <w:bCs/>
              </w:rPr>
              <w:t>Exterior Lighting</w:t>
            </w:r>
          </w:p>
        </w:tc>
        <w:tc>
          <w:tcPr>
            <w:tcW w:w="3618" w:type="dxa"/>
          </w:tcPr>
          <w:p w14:paraId="1245291C" w14:textId="77777777" w:rsidR="0067503D" w:rsidRPr="0067503D" w:rsidRDefault="0067503D" w:rsidP="0067503D">
            <w:pPr>
              <w:jc w:val="left"/>
              <w:rPr>
                <w:b w:val="0"/>
                <w:bCs/>
              </w:rPr>
            </w:pPr>
            <w:r w:rsidRPr="0067503D">
              <w:rPr>
                <w:b w:val="0"/>
                <w:bCs/>
              </w:rPr>
              <w:t xml:space="preserve"> 9.</w:t>
            </w:r>
            <w:r w:rsidRPr="0067503D">
              <w:rPr>
                <w:b w:val="0"/>
                <w:bCs/>
              </w:rPr>
              <w:tab/>
              <w:t xml:space="preserve"> Unspecified</w:t>
            </w:r>
          </w:p>
        </w:tc>
      </w:tr>
      <w:tr w:rsidR="0067503D" w:rsidRPr="00634EA8" w14:paraId="1A2AB09F" w14:textId="77777777">
        <w:trPr>
          <w:jc w:val="center"/>
        </w:trPr>
        <w:tc>
          <w:tcPr>
            <w:tcW w:w="3960" w:type="dxa"/>
          </w:tcPr>
          <w:p w14:paraId="73FDEFC3" w14:textId="77777777" w:rsidR="0067503D" w:rsidRPr="0067503D" w:rsidRDefault="0067503D" w:rsidP="0067503D">
            <w:pPr>
              <w:jc w:val="left"/>
              <w:rPr>
                <w:b w:val="0"/>
                <w:bCs/>
              </w:rPr>
            </w:pPr>
            <w:r w:rsidRPr="0067503D">
              <w:rPr>
                <w:b w:val="0"/>
                <w:bCs/>
              </w:rPr>
              <w:t>5.</w:t>
            </w:r>
            <w:r w:rsidRPr="0067503D">
              <w:rPr>
                <w:b w:val="0"/>
                <w:bCs/>
              </w:rPr>
              <w:tab/>
              <w:t>Motors</w:t>
            </w:r>
          </w:p>
        </w:tc>
        <w:tc>
          <w:tcPr>
            <w:tcW w:w="3618" w:type="dxa"/>
          </w:tcPr>
          <w:p w14:paraId="6FE40898" w14:textId="02B8E15C" w:rsidR="0067503D" w:rsidRPr="0067503D" w:rsidRDefault="00616255" w:rsidP="00086A34">
            <w:pPr>
              <w:jc w:val="left"/>
              <w:rPr>
                <w:b w:val="0"/>
                <w:bCs/>
              </w:rPr>
            </w:pPr>
            <w:r>
              <w:rPr>
                <w:b w:val="0"/>
                <w:bCs/>
              </w:rPr>
              <w:t xml:space="preserve">    </w:t>
            </w:r>
            <w:r w:rsidR="0067503D" w:rsidRPr="0067503D">
              <w:rPr>
                <w:b w:val="0"/>
                <w:bCs/>
              </w:rPr>
              <w:t xml:space="preserve"> </w:t>
            </w:r>
          </w:p>
        </w:tc>
      </w:tr>
    </w:tbl>
    <w:p w14:paraId="6A552D1E" w14:textId="77777777" w:rsidR="00AC6029" w:rsidRPr="00634EA8" w:rsidRDefault="00AC6029" w:rsidP="00AC6029"/>
    <w:p w14:paraId="480EC1DF" w14:textId="77777777" w:rsidR="007C45C9" w:rsidRPr="00602686" w:rsidRDefault="007C45C9" w:rsidP="004B1880">
      <w:pPr>
        <w:pStyle w:val="BodyTextIndent"/>
        <w:spacing w:after="0" w:line="360" w:lineRule="auto"/>
        <w:ind w:left="0"/>
        <w:jc w:val="both"/>
      </w:pPr>
    </w:p>
    <w:p w14:paraId="7B3F9089" w14:textId="6D5A36A7" w:rsidR="001F6715" w:rsidRPr="0027556E" w:rsidRDefault="001F6715" w:rsidP="004B1880">
      <w:pPr>
        <w:pStyle w:val="BodyText"/>
        <w:spacing w:after="0" w:line="360" w:lineRule="auto"/>
        <w:jc w:val="both"/>
        <w:rPr>
          <w:b w:val="0"/>
        </w:rPr>
      </w:pPr>
      <w:r w:rsidRPr="0027556E">
        <w:rPr>
          <w:b w:val="0"/>
        </w:rPr>
        <w:t>In the industrial sector, energy requirements are largely related to the energy-to-output relationship, augmented by the share of alternative equipment choices and fuel options. In the industrial sector, economic output is measured by the amount of industrial production. Energy is required to manufacture the product. For example, a plant requires a certain amount of motive power (i.e.</w:t>
      </w:r>
      <w:r w:rsidR="00FF43F0">
        <w:rPr>
          <w:b w:val="0"/>
        </w:rPr>
        <w:t>,</w:t>
      </w:r>
      <w:r w:rsidRPr="0027556E">
        <w:rPr>
          <w:b w:val="0"/>
        </w:rPr>
        <w:t xml:space="preserve"> work from motors) or process heat to produce its product. A textile mill requires a certain amount of motive force (work) to weave a yard of fabric or make a carpet. A plant that melts steel requires a certain amount of energy to melt a ton of steel, which is determined by the process efficiency of converting fuel sources into useful work. These energy </w:t>
      </w:r>
      <w:r w:rsidRPr="0027556E">
        <w:rPr>
          <w:b w:val="0"/>
        </w:rPr>
        <w:lastRenderedPageBreak/>
        <w:t>requirements are supplied by energy consuming equipment. The amount of energy consumed by the equipment to meet this need is the amount of end-use sales. By installing more efficient equipment, a plant operator can lower the amount of energy needed to meet the requirements of the process. The end-use machinery that supplies the energy requirements of the plant needs a fuel source itself. This could be one of several fuels: electricity</w:t>
      </w:r>
      <w:r w:rsidR="00FF43F0">
        <w:rPr>
          <w:b w:val="0"/>
        </w:rPr>
        <w:t>;</w:t>
      </w:r>
      <w:r w:rsidR="00FF43F0" w:rsidRPr="0027556E">
        <w:rPr>
          <w:b w:val="0"/>
        </w:rPr>
        <w:t xml:space="preserve"> </w:t>
      </w:r>
      <w:r w:rsidRPr="0027556E">
        <w:rPr>
          <w:b w:val="0"/>
        </w:rPr>
        <w:t>natural gas</w:t>
      </w:r>
      <w:r w:rsidR="00FF43F0">
        <w:rPr>
          <w:b w:val="0"/>
        </w:rPr>
        <w:t>;</w:t>
      </w:r>
      <w:r w:rsidRPr="0027556E">
        <w:rPr>
          <w:b w:val="0"/>
        </w:rPr>
        <w:t xml:space="preserve"> oil</w:t>
      </w:r>
      <w:r w:rsidR="00FF43F0">
        <w:rPr>
          <w:b w:val="0"/>
        </w:rPr>
        <w:t>;</w:t>
      </w:r>
      <w:r w:rsidR="00FF43F0" w:rsidRPr="0027556E">
        <w:rPr>
          <w:b w:val="0"/>
        </w:rPr>
        <w:t xml:space="preserve"> </w:t>
      </w:r>
      <w:r w:rsidRPr="0027556E">
        <w:rPr>
          <w:b w:val="0"/>
        </w:rPr>
        <w:t>or some other fuel. The plant is typically designed and operated to use a combination of equipment that use</w:t>
      </w:r>
      <w:r w:rsidR="0073737E">
        <w:rPr>
          <w:b w:val="0"/>
        </w:rPr>
        <w:t>s</w:t>
      </w:r>
      <w:r w:rsidRPr="0027556E">
        <w:rPr>
          <w:b w:val="0"/>
        </w:rPr>
        <w:t xml:space="preserve"> different fuel sources and maximize</w:t>
      </w:r>
      <w:r w:rsidR="0073737E">
        <w:rPr>
          <w:b w:val="0"/>
        </w:rPr>
        <w:t>s</w:t>
      </w:r>
      <w:r w:rsidRPr="0027556E">
        <w:rPr>
          <w:b w:val="0"/>
        </w:rPr>
        <w:t xml:space="preserve"> efficient use of resources while providing end-use service economically and reliably.</w:t>
      </w:r>
    </w:p>
    <w:p w14:paraId="5098DE7D" w14:textId="77777777" w:rsidR="001F6715" w:rsidRPr="0027556E" w:rsidRDefault="001F6715" w:rsidP="004B1880">
      <w:pPr>
        <w:pStyle w:val="BodyText"/>
        <w:spacing w:after="0" w:line="360" w:lineRule="auto"/>
        <w:jc w:val="both"/>
        <w:rPr>
          <w:b w:val="0"/>
        </w:rPr>
      </w:pPr>
    </w:p>
    <w:p w14:paraId="139C5208" w14:textId="39F8CC2F" w:rsidR="001F6715" w:rsidRDefault="001F6715" w:rsidP="004B1880">
      <w:pPr>
        <w:pStyle w:val="BodyTextIndent"/>
        <w:spacing w:after="0" w:line="360" w:lineRule="auto"/>
        <w:ind w:left="0"/>
        <w:jc w:val="both"/>
      </w:pPr>
      <w:r w:rsidRPr="0027556E">
        <w:t>The long-term industrial model uses the elements of economic activity, industrial production operations, fuel choices, and equipment (or process) characteristics to model energy requirements arising from the supporting end</w:t>
      </w:r>
      <w:r w:rsidR="00C85644">
        <w:t xml:space="preserve"> </w:t>
      </w:r>
      <w:r w:rsidRPr="0027556E">
        <w:t>uses of an industrial activity. The description of the economic activity and production operations of an industry come from industrial production, capacity utilization rates, and output capacity. Output capacity measures the level of output of plants when they are operating at full capacity. From this, a description of the energy required to support a given level of production can be made. Fuel prices are used to model the choice of end-use equipment employed to provide end-use service. These choices, although influenced by the preferences of the decision maker, are largely economic and are captured through analyzing life-cycle costs. The capital costs of equipment also affect the selection of equipment. In addition, the model uses information about the mix of equipment options, sizes, and ratings to determine end-use consumption characteristics.</w:t>
      </w:r>
    </w:p>
    <w:p w14:paraId="6F03B09B" w14:textId="77777777" w:rsidR="001F6715" w:rsidRDefault="001F6715" w:rsidP="004B1880">
      <w:pPr>
        <w:pStyle w:val="BodyTextIndent"/>
        <w:spacing w:after="0" w:line="360" w:lineRule="auto"/>
        <w:ind w:left="0"/>
        <w:jc w:val="both"/>
      </w:pPr>
    </w:p>
    <w:p w14:paraId="7B9B10E2" w14:textId="1018DDFF" w:rsidR="00FA25AE" w:rsidRPr="0027556E" w:rsidRDefault="00FA25AE" w:rsidP="004B1880">
      <w:pPr>
        <w:pStyle w:val="BodyText"/>
        <w:spacing w:after="0" w:line="360" w:lineRule="auto"/>
        <w:jc w:val="both"/>
        <w:rPr>
          <w:b w:val="0"/>
        </w:rPr>
      </w:pPr>
      <w:r w:rsidRPr="0027556E">
        <w:rPr>
          <w:b w:val="0"/>
        </w:rPr>
        <w:t>Efficiencies, equipment size, and usage characteristics determine consumption. Equipment purchase decisions result in the stock and efficiency mix of new equipment. The first type of equipment replacement decision is made at the time of physical decay of a device and is modeled using assumptions about equipment lifetimes. The second type of equipment purchase decision results from plant construction or expansion and is modeled using changes in capacity. Share equations are used to compute market shares for the various efficiency options and are based on a logic function describing equipment purchases based on life cycle costs. Data from available surveys as well as national and regional information are used to describe these parameters for each industry.</w:t>
      </w:r>
    </w:p>
    <w:p w14:paraId="06E3A192" w14:textId="77777777" w:rsidR="00FA25AE" w:rsidRPr="0027556E" w:rsidRDefault="00FA25AE" w:rsidP="004B1880">
      <w:pPr>
        <w:pStyle w:val="BodyText"/>
        <w:spacing w:after="0" w:line="360" w:lineRule="auto"/>
        <w:jc w:val="both"/>
        <w:rPr>
          <w:b w:val="0"/>
        </w:rPr>
      </w:pPr>
    </w:p>
    <w:p w14:paraId="65BA0E11" w14:textId="77777777" w:rsidR="00FA25AE" w:rsidRDefault="00E150E3" w:rsidP="00FA25AE">
      <w:pPr>
        <w:pStyle w:val="BodyText"/>
        <w:spacing w:line="360" w:lineRule="auto"/>
        <w:jc w:val="both"/>
        <w:rPr>
          <w:b w:val="0"/>
        </w:rPr>
      </w:pPr>
      <w:r>
        <w:rPr>
          <w:noProof/>
        </w:rPr>
        <w:object w:dxaOrig="1440" w:dyaOrig="1440" w14:anchorId="30FBE027">
          <v:shape id="_x0000_s2058" type="#_x0000_t75" style="position:absolute;left:0;text-align:left;margin-left:1.5pt;margin-top:18.75pt;width:192pt;height:27pt;z-index:251658242;visibility:visible">
            <v:imagedata r:id="rId46" o:title=""/>
          </v:shape>
          <o:OLEObject Type="Embed" ProgID="Equation.3" ShapeID="_x0000_s2058" DrawAspect="Content" ObjectID="_1799775384" r:id="rId81"/>
        </w:object>
      </w:r>
      <w:r w:rsidR="00FA25AE" w:rsidRPr="0027556E">
        <w:rPr>
          <w:b w:val="0"/>
        </w:rPr>
        <w:t xml:space="preserve">The central energy equation for </w:t>
      </w:r>
      <w:r w:rsidR="00FA25AE">
        <w:rPr>
          <w:b w:val="0"/>
        </w:rPr>
        <w:t>the Industrial LoadMAP model</w:t>
      </w:r>
      <w:r w:rsidR="00FA25AE" w:rsidRPr="0027556E">
        <w:rPr>
          <w:b w:val="0"/>
        </w:rPr>
        <w:t xml:space="preserve"> is:</w:t>
      </w:r>
    </w:p>
    <w:p w14:paraId="2DBA8C93" w14:textId="77777777" w:rsidR="00FA25AE" w:rsidRDefault="00FA25AE" w:rsidP="00FA25AE">
      <w:pPr>
        <w:pStyle w:val="BodyText"/>
        <w:spacing w:line="360" w:lineRule="auto"/>
        <w:jc w:val="both"/>
        <w:rPr>
          <w:b w:val="0"/>
        </w:rPr>
      </w:pPr>
    </w:p>
    <w:p w14:paraId="389449DA" w14:textId="282425BD" w:rsidR="00FA25AE" w:rsidRPr="004B1880" w:rsidRDefault="004569E4" w:rsidP="00FA25AE">
      <w:pPr>
        <w:spacing w:line="360" w:lineRule="auto"/>
        <w:jc w:val="both"/>
        <w:rPr>
          <w:b w:val="0"/>
        </w:rPr>
      </w:pPr>
      <w:r>
        <w:rPr>
          <w:b w:val="0"/>
          <w:bCs/>
        </w:rPr>
        <w:t>Where:</w:t>
      </w:r>
    </w:p>
    <w:p w14:paraId="2BE2047E" w14:textId="77777777"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t xml:space="preserve">Energy = </w:t>
      </w:r>
      <w:r w:rsidRPr="00FA25AE">
        <w:rPr>
          <w:b w:val="0"/>
          <w:color w:val="000000" w:themeColor="text1"/>
        </w:rPr>
        <w:tab/>
        <w:t>annual energy use in a particular segment (e.g., Chemicals)</w:t>
      </w:r>
    </w:p>
    <w:p w14:paraId="18D31684" w14:textId="45A367C3"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t>t</w:t>
      </w:r>
      <w:r w:rsidR="00616255">
        <w:rPr>
          <w:b w:val="0"/>
          <w:color w:val="000000" w:themeColor="text1"/>
        </w:rPr>
        <w:t xml:space="preserve">     </w:t>
      </w:r>
      <w:r w:rsidRPr="00FA25AE">
        <w:rPr>
          <w:b w:val="0"/>
          <w:color w:val="000000" w:themeColor="text1"/>
        </w:rPr>
        <w:t xml:space="preserve"> = </w:t>
      </w:r>
      <w:r w:rsidRPr="00FA25AE">
        <w:rPr>
          <w:b w:val="0"/>
          <w:color w:val="000000" w:themeColor="text1"/>
        </w:rPr>
        <w:tab/>
        <w:t>technology</w:t>
      </w:r>
    </w:p>
    <w:p w14:paraId="75137707" w14:textId="467C13A5"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t>e</w:t>
      </w:r>
      <w:r w:rsidR="00616255">
        <w:rPr>
          <w:b w:val="0"/>
          <w:color w:val="000000" w:themeColor="text1"/>
        </w:rPr>
        <w:t xml:space="preserve">     </w:t>
      </w:r>
      <w:r w:rsidRPr="00FA25AE">
        <w:rPr>
          <w:b w:val="0"/>
          <w:color w:val="000000" w:themeColor="text1"/>
        </w:rPr>
        <w:t xml:space="preserve">= </w:t>
      </w:r>
      <w:r w:rsidRPr="00FA25AE">
        <w:rPr>
          <w:b w:val="0"/>
          <w:color w:val="000000" w:themeColor="text1"/>
        </w:rPr>
        <w:tab/>
        <w:t xml:space="preserve">end use </w:t>
      </w:r>
    </w:p>
    <w:p w14:paraId="06CA46C6" w14:textId="6338EFFB"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t>N</w:t>
      </w:r>
      <w:r w:rsidR="00616255">
        <w:rPr>
          <w:b w:val="0"/>
          <w:color w:val="000000" w:themeColor="text1"/>
        </w:rPr>
        <w:t xml:space="preserve">    </w:t>
      </w:r>
      <w:r w:rsidR="00E34D81">
        <w:rPr>
          <w:b w:val="0"/>
          <w:color w:val="000000" w:themeColor="text1"/>
        </w:rPr>
        <w:t xml:space="preserve"> </w:t>
      </w:r>
      <w:r w:rsidRPr="00FA25AE">
        <w:rPr>
          <w:b w:val="0"/>
          <w:color w:val="000000" w:themeColor="text1"/>
        </w:rPr>
        <w:t xml:space="preserve">= </w:t>
      </w:r>
      <w:r w:rsidRPr="00FA25AE">
        <w:rPr>
          <w:b w:val="0"/>
          <w:color w:val="000000" w:themeColor="text1"/>
        </w:rPr>
        <w:tab/>
        <w:t xml:space="preserve">market size (e.g., Industrial Production Index level for Chemicals) </w:t>
      </w:r>
    </w:p>
    <w:p w14:paraId="1909DDE4" w14:textId="3063404F"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lastRenderedPageBreak/>
        <w:t>Share</w:t>
      </w:r>
      <w:r w:rsidRPr="00FA25AE">
        <w:rPr>
          <w:b w:val="0"/>
          <w:color w:val="000000" w:themeColor="text1"/>
          <w:vertAlign w:val="subscript"/>
        </w:rPr>
        <w:t>t</w:t>
      </w:r>
      <w:r w:rsidR="00616255">
        <w:rPr>
          <w:b w:val="0"/>
          <w:color w:val="000000" w:themeColor="text1"/>
        </w:rPr>
        <w:t xml:space="preserve"> </w:t>
      </w:r>
      <w:r w:rsidRPr="00FA25AE">
        <w:rPr>
          <w:b w:val="0"/>
          <w:color w:val="000000" w:themeColor="text1"/>
        </w:rPr>
        <w:t xml:space="preserve">= </w:t>
      </w:r>
      <w:r w:rsidRPr="00FA25AE">
        <w:rPr>
          <w:b w:val="0"/>
          <w:color w:val="000000" w:themeColor="text1"/>
        </w:rPr>
        <w:tab/>
        <w:t>share of market with the end use (e.g., chemical IP index level with the end use). This is also referr</w:t>
      </w:r>
      <w:r w:rsidR="00E04058">
        <w:rPr>
          <w:b w:val="0"/>
          <w:color w:val="000000" w:themeColor="text1"/>
        </w:rPr>
        <w:t>ed to as the end-use saturation</w:t>
      </w:r>
      <w:r w:rsidR="000B588E">
        <w:rPr>
          <w:b w:val="0"/>
          <w:color w:val="000000" w:themeColor="text1"/>
        </w:rPr>
        <w:t>.</w:t>
      </w:r>
    </w:p>
    <w:p w14:paraId="2A924401" w14:textId="2E5EA246" w:rsidR="00FA25AE" w:rsidRPr="00FA25AE" w:rsidRDefault="00FA25AE" w:rsidP="001B5EC7">
      <w:pPr>
        <w:pStyle w:val="BodyText"/>
        <w:spacing w:after="0" w:line="360" w:lineRule="auto"/>
        <w:ind w:left="1368" w:hanging="1008"/>
        <w:jc w:val="left"/>
        <w:rPr>
          <w:b w:val="0"/>
          <w:color w:val="000000" w:themeColor="text1"/>
        </w:rPr>
      </w:pPr>
      <w:r w:rsidRPr="00FA25AE">
        <w:rPr>
          <w:b w:val="0"/>
          <w:color w:val="000000" w:themeColor="text1"/>
        </w:rPr>
        <w:t>UEC</w:t>
      </w:r>
      <w:r w:rsidRPr="00FA25AE">
        <w:rPr>
          <w:b w:val="0"/>
          <w:color w:val="000000" w:themeColor="text1"/>
          <w:vertAlign w:val="subscript"/>
        </w:rPr>
        <w:t>t</w:t>
      </w:r>
      <w:r w:rsidR="00616255">
        <w:rPr>
          <w:b w:val="0"/>
          <w:color w:val="000000" w:themeColor="text1"/>
        </w:rPr>
        <w:t xml:space="preserve"> </w:t>
      </w:r>
      <w:r w:rsidRPr="00FA25AE">
        <w:rPr>
          <w:b w:val="0"/>
          <w:color w:val="000000" w:themeColor="text1"/>
        </w:rPr>
        <w:t xml:space="preserve"> </w:t>
      </w:r>
      <w:r w:rsidR="007F0DEC">
        <w:rPr>
          <w:b w:val="0"/>
          <w:color w:val="000000" w:themeColor="text1"/>
        </w:rPr>
        <w:t xml:space="preserve"> </w:t>
      </w:r>
      <w:r w:rsidRPr="00FA25AE">
        <w:rPr>
          <w:b w:val="0"/>
          <w:color w:val="000000" w:themeColor="text1"/>
        </w:rPr>
        <w:t xml:space="preserve">= </w:t>
      </w:r>
      <w:r w:rsidRPr="00FA25AE">
        <w:rPr>
          <w:b w:val="0"/>
          <w:color w:val="000000" w:themeColor="text1"/>
        </w:rPr>
        <w:tab/>
        <w:t>unit energy consumption in unit of market size (e.g., Chemical IP Index) with the end use</w:t>
      </w:r>
    </w:p>
    <w:p w14:paraId="48479B7A" w14:textId="28168C5C" w:rsidR="00FA25AE" w:rsidRPr="00FA25AE" w:rsidRDefault="00FA25AE" w:rsidP="001B5EC7">
      <w:pPr>
        <w:pStyle w:val="BodyText"/>
        <w:spacing w:after="0" w:line="360" w:lineRule="auto"/>
        <w:ind w:left="1368" w:hanging="1008"/>
        <w:jc w:val="left"/>
      </w:pPr>
      <w:r w:rsidRPr="00FA25AE">
        <w:rPr>
          <w:b w:val="0"/>
          <w:color w:val="000000" w:themeColor="text1"/>
        </w:rPr>
        <w:t>U</w:t>
      </w:r>
      <w:r w:rsidRPr="00FA25AE">
        <w:rPr>
          <w:b w:val="0"/>
          <w:color w:val="000000" w:themeColor="text1"/>
          <w:vertAlign w:val="subscript"/>
        </w:rPr>
        <w:t>e</w:t>
      </w:r>
      <w:r w:rsidR="00616255">
        <w:rPr>
          <w:b w:val="0"/>
          <w:color w:val="000000" w:themeColor="text1"/>
        </w:rPr>
        <w:t xml:space="preserve">    </w:t>
      </w:r>
      <w:r w:rsidR="007F0DEC">
        <w:rPr>
          <w:b w:val="0"/>
          <w:color w:val="000000" w:themeColor="text1"/>
        </w:rPr>
        <w:t xml:space="preserve">   </w:t>
      </w:r>
      <w:r w:rsidRPr="00FA25AE">
        <w:rPr>
          <w:b w:val="0"/>
          <w:color w:val="000000" w:themeColor="text1"/>
        </w:rPr>
        <w:t xml:space="preserve">= </w:t>
      </w:r>
      <w:r w:rsidRPr="00FA25AE">
        <w:rPr>
          <w:b w:val="0"/>
          <w:color w:val="000000" w:themeColor="text1"/>
        </w:rPr>
        <w:tab/>
        <w:t>utilization index (equals 1.0 in base year)</w:t>
      </w:r>
      <w:r w:rsidRPr="00FA25AE">
        <w:tab/>
      </w:r>
    </w:p>
    <w:p w14:paraId="7E246B3D" w14:textId="77777777" w:rsidR="00FA25AE" w:rsidRDefault="00FA25AE" w:rsidP="001B5EC7">
      <w:pPr>
        <w:pStyle w:val="BodyText"/>
        <w:spacing w:after="0" w:line="360" w:lineRule="auto"/>
        <w:ind w:left="1368" w:hanging="1008"/>
        <w:jc w:val="left"/>
        <w:rPr>
          <w:b w:val="0"/>
          <w:color w:val="000000" w:themeColor="text1"/>
        </w:rPr>
      </w:pPr>
    </w:p>
    <w:p w14:paraId="5632EDC8" w14:textId="77777777" w:rsidR="00FA25AE" w:rsidRPr="001B5EC7" w:rsidRDefault="00FA25AE" w:rsidP="001B5EC7">
      <w:pPr>
        <w:pStyle w:val="BodyText"/>
        <w:spacing w:after="0"/>
        <w:ind w:left="1008" w:hanging="1008"/>
        <w:jc w:val="left"/>
        <w:rPr>
          <w:b w:val="0"/>
        </w:rPr>
      </w:pPr>
      <w:r w:rsidRPr="001B5EC7">
        <w:rPr>
          <w:b w:val="0"/>
        </w:rPr>
        <w:t xml:space="preserve">The elements of the central energy equation in the base year are contained in an </w:t>
      </w:r>
      <w:r w:rsidRPr="001B5EC7">
        <w:rPr>
          <w:b w:val="0"/>
          <w:iCs/>
        </w:rPr>
        <w:t>energy</w:t>
      </w:r>
      <w:r w:rsidRPr="001B5EC7">
        <w:rPr>
          <w:iCs/>
        </w:rPr>
        <w:t xml:space="preserve"> </w:t>
      </w:r>
      <w:r w:rsidRPr="001B5EC7">
        <w:rPr>
          <w:b w:val="0"/>
          <w:iCs/>
        </w:rPr>
        <w:t>market</w:t>
      </w:r>
      <w:r w:rsidRPr="001B5EC7">
        <w:rPr>
          <w:iCs/>
        </w:rPr>
        <w:t xml:space="preserve"> </w:t>
      </w:r>
      <w:r w:rsidRPr="001B5EC7">
        <w:rPr>
          <w:b w:val="0"/>
          <w:iCs/>
        </w:rPr>
        <w:t>profile</w:t>
      </w:r>
      <w:r w:rsidRPr="001B5EC7">
        <w:rPr>
          <w:b w:val="0"/>
        </w:rPr>
        <w:t>.</w:t>
      </w:r>
    </w:p>
    <w:p w14:paraId="718C9940" w14:textId="77777777" w:rsidR="00FA25AE" w:rsidRDefault="00FA25AE" w:rsidP="00FA25AE">
      <w:pPr>
        <w:pStyle w:val="BodyText"/>
      </w:pPr>
    </w:p>
    <w:p w14:paraId="39E02410" w14:textId="1B75DC44" w:rsidR="00FA25AE" w:rsidRPr="00DE1C77" w:rsidRDefault="00FA25AE" w:rsidP="004B1880">
      <w:pPr>
        <w:pStyle w:val="BodyText"/>
        <w:spacing w:after="0" w:line="360" w:lineRule="auto"/>
        <w:jc w:val="both"/>
        <w:rPr>
          <w:b w:val="0"/>
        </w:rPr>
      </w:pPr>
      <w:r w:rsidRPr="00DE1C77">
        <w:rPr>
          <w:b w:val="0"/>
        </w:rPr>
        <w:t>The economic driver used to forecast long-term sales for each NAICS category in the industrial class is</w:t>
      </w:r>
      <w:r w:rsidR="00E04058">
        <w:rPr>
          <w:b w:val="0"/>
        </w:rPr>
        <w:t xml:space="preserve"> </w:t>
      </w:r>
      <w:r w:rsidR="00253B5E">
        <w:rPr>
          <w:b w:val="0"/>
        </w:rPr>
        <w:t>i</w:t>
      </w:r>
      <w:r w:rsidRPr="00DE1C77">
        <w:rPr>
          <w:b w:val="0"/>
        </w:rPr>
        <w:t xml:space="preserve">ndustrial </w:t>
      </w:r>
      <w:r w:rsidR="00253B5E">
        <w:rPr>
          <w:b w:val="0"/>
        </w:rPr>
        <w:t>p</w:t>
      </w:r>
      <w:r w:rsidRPr="00DE1C77">
        <w:rPr>
          <w:b w:val="0"/>
        </w:rPr>
        <w:t>roduction</w:t>
      </w:r>
      <w:r w:rsidR="00F57551">
        <w:rPr>
          <w:b w:val="0"/>
        </w:rPr>
        <w:t xml:space="preserve">, as measured and tracked by the </w:t>
      </w:r>
      <w:r w:rsidR="008D6B16">
        <w:rPr>
          <w:b w:val="0"/>
        </w:rPr>
        <w:t>Federal Reserve</w:t>
      </w:r>
      <w:r w:rsidR="003544C2">
        <w:rPr>
          <w:b w:val="0"/>
        </w:rPr>
        <w:t xml:space="preserve"> and forecasted by </w:t>
      </w:r>
      <w:r w:rsidR="00020DB6">
        <w:rPr>
          <w:b w:val="0"/>
        </w:rPr>
        <w:t>S&amp;P Global</w:t>
      </w:r>
      <w:r w:rsidRPr="00DE1C77">
        <w:rPr>
          <w:b w:val="0"/>
        </w:rPr>
        <w:t xml:space="preserve">. The use of industrial production allows for the explicit modeling of the input-output structure of the economy. Consequently, by using industrial production in the energy models, energy consumption is directly linked to a measure of industrial economic output. Section </w:t>
      </w:r>
      <w:r w:rsidR="0083682F">
        <w:rPr>
          <w:b w:val="0"/>
        </w:rPr>
        <w:t>9</w:t>
      </w:r>
      <w:r w:rsidRPr="00DE1C77">
        <w:rPr>
          <w:b w:val="0"/>
        </w:rPr>
        <w:t>.2.4 addresses industrial activity.</w:t>
      </w:r>
    </w:p>
    <w:p w14:paraId="66D43E5F" w14:textId="77777777" w:rsidR="00602686" w:rsidRPr="00602686" w:rsidRDefault="00602686" w:rsidP="004B1880">
      <w:pPr>
        <w:pStyle w:val="BodyTextIndent"/>
        <w:spacing w:after="0" w:line="360" w:lineRule="auto"/>
        <w:jc w:val="both"/>
      </w:pPr>
    </w:p>
    <w:p w14:paraId="7769A411" w14:textId="0E90994C" w:rsidR="00FA25AE" w:rsidRPr="00DE1C77" w:rsidRDefault="003544C2" w:rsidP="004B1880">
      <w:pPr>
        <w:pStyle w:val="BodyText"/>
        <w:spacing w:after="0" w:line="360" w:lineRule="auto"/>
        <w:jc w:val="both"/>
        <w:rPr>
          <w:b w:val="0"/>
        </w:rPr>
      </w:pPr>
      <w:r>
        <w:rPr>
          <w:b w:val="0"/>
        </w:rPr>
        <w:t>The historical energies for the industrial class are derived from Georgia Power specific data, distinguishing each segment using NAICS codes. Electricity and natural gas prices are forecasted for the industrial class. Other data, such as fuel shares, efficiencies, technologies, etc. were implemented from several sources by AEG, including the Manufacturers Energy Consumption Survey (“MECS”), and other national and regional data.</w:t>
      </w:r>
      <w:r w:rsidR="00FA25AE" w:rsidRPr="00634EA8">
        <w:rPr>
          <w:b w:val="0"/>
        </w:rPr>
        <w:t xml:space="preserve"> </w:t>
      </w:r>
    </w:p>
    <w:p w14:paraId="2AC80D0C" w14:textId="77777777" w:rsidR="00602686" w:rsidRPr="00602686" w:rsidRDefault="00602686" w:rsidP="004B1880">
      <w:pPr>
        <w:pStyle w:val="BodyTextIndent"/>
        <w:spacing w:after="0" w:line="360" w:lineRule="auto"/>
        <w:jc w:val="both"/>
      </w:pPr>
    </w:p>
    <w:p w14:paraId="57A95C5A" w14:textId="1CA3BDE0" w:rsidR="00881002" w:rsidRPr="00DE1C77" w:rsidRDefault="003544C2" w:rsidP="004B1880">
      <w:pPr>
        <w:pStyle w:val="BodyText"/>
        <w:spacing w:after="0" w:line="360" w:lineRule="auto"/>
        <w:jc w:val="both"/>
        <w:rPr>
          <w:b w:val="0"/>
        </w:rPr>
      </w:pPr>
      <w:r>
        <w:rPr>
          <w:b w:val="0"/>
        </w:rPr>
        <w:t xml:space="preserve">The industrial LoadMAP model uses a base year of 2016 to establish initial calibration. The model also calibrates to historical energy through </w:t>
      </w:r>
      <w:r w:rsidR="0083682F">
        <w:rPr>
          <w:b w:val="0"/>
        </w:rPr>
        <w:t>2023</w:t>
      </w:r>
      <w:r>
        <w:rPr>
          <w:b w:val="0"/>
        </w:rPr>
        <w:t xml:space="preserve">. Additionally, it is calibrated to the energy of each economic category, according to NAICS, over the period of the short-term forecast, </w:t>
      </w:r>
      <w:r w:rsidR="0083682F">
        <w:rPr>
          <w:b w:val="0"/>
        </w:rPr>
        <w:t>202</w:t>
      </w:r>
      <w:r w:rsidR="00576947">
        <w:rPr>
          <w:b w:val="0"/>
        </w:rPr>
        <w:t>5</w:t>
      </w:r>
      <w:r w:rsidR="0083682F">
        <w:rPr>
          <w:b w:val="0"/>
        </w:rPr>
        <w:t xml:space="preserve"> </w:t>
      </w:r>
      <w:r>
        <w:rPr>
          <w:b w:val="0"/>
        </w:rPr>
        <w:t xml:space="preserve">through </w:t>
      </w:r>
      <w:r w:rsidR="0083682F">
        <w:rPr>
          <w:b w:val="0"/>
        </w:rPr>
        <w:t>2029</w:t>
      </w:r>
      <w:r>
        <w:rPr>
          <w:b w:val="0"/>
        </w:rPr>
        <w:t>.</w:t>
      </w:r>
    </w:p>
    <w:p w14:paraId="1748BE1E" w14:textId="77777777" w:rsidR="00881002" w:rsidRPr="00DE1C77" w:rsidRDefault="00881002" w:rsidP="004B1880">
      <w:pPr>
        <w:pStyle w:val="BodyText"/>
        <w:spacing w:after="0" w:line="360" w:lineRule="auto"/>
        <w:jc w:val="both"/>
        <w:rPr>
          <w:b w:val="0"/>
        </w:rPr>
      </w:pPr>
    </w:p>
    <w:p w14:paraId="5CB23B12" w14:textId="18E5B9CB" w:rsidR="00881002" w:rsidRPr="00DE1C77" w:rsidRDefault="00881002" w:rsidP="004B1880">
      <w:pPr>
        <w:pStyle w:val="BodyText"/>
        <w:spacing w:after="0" w:line="360" w:lineRule="auto"/>
        <w:jc w:val="both"/>
        <w:rPr>
          <w:b w:val="0"/>
        </w:rPr>
      </w:pPr>
      <w:r w:rsidRPr="00DE1C77">
        <w:rPr>
          <w:b w:val="0"/>
        </w:rPr>
        <w:t xml:space="preserve">Cogeneration is a significant activity for certain industries. In the course of providing general manufacturing production processes, electricity is made available as a by-product. Georgia Power has assembled information to project the energy and demand changes from cogeneration for the near future. This cogeneration forecast is produced independently of the electricity sales forecast of the industrial class. See Section </w:t>
      </w:r>
      <w:r w:rsidR="0083682F">
        <w:rPr>
          <w:b w:val="0"/>
        </w:rPr>
        <w:t>9</w:t>
      </w:r>
      <w:r w:rsidRPr="00DE1C77">
        <w:rPr>
          <w:b w:val="0"/>
        </w:rPr>
        <w:t>.4.2 for additional discussion on cogeneration.</w:t>
      </w:r>
      <w:r w:rsidR="00DC05CA">
        <w:rPr>
          <w:b w:val="0"/>
        </w:rPr>
        <w:t xml:space="preserve"> The amount of industrial cogeneration expected in the Budget </w:t>
      </w:r>
      <w:r w:rsidR="00D30037">
        <w:rPr>
          <w:b w:val="0"/>
        </w:rPr>
        <w:t xml:space="preserve">2025 </w:t>
      </w:r>
      <w:r w:rsidR="00DC05CA">
        <w:rPr>
          <w:b w:val="0"/>
        </w:rPr>
        <w:t>is presented in Attachment 5.1.3-4</w:t>
      </w:r>
      <w:r w:rsidR="007D67AA">
        <w:rPr>
          <w:b w:val="0"/>
        </w:rPr>
        <w:t>.</w:t>
      </w:r>
    </w:p>
    <w:p w14:paraId="3C9107E4" w14:textId="77777777" w:rsidR="00881002" w:rsidRPr="00DE1C77" w:rsidRDefault="00881002" w:rsidP="004B1880">
      <w:pPr>
        <w:pStyle w:val="BodyText"/>
        <w:spacing w:after="0" w:line="360" w:lineRule="auto"/>
        <w:jc w:val="both"/>
        <w:rPr>
          <w:b w:val="0"/>
        </w:rPr>
      </w:pPr>
    </w:p>
    <w:p w14:paraId="22E89451" w14:textId="68B759E6" w:rsidR="00881002" w:rsidRPr="00DE1C77" w:rsidRDefault="003544C2" w:rsidP="004B1880">
      <w:pPr>
        <w:pStyle w:val="BodyText"/>
        <w:spacing w:after="0" w:line="360" w:lineRule="auto"/>
        <w:jc w:val="both"/>
        <w:rPr>
          <w:b w:val="0"/>
        </w:rPr>
      </w:pPr>
      <w:r>
        <w:rPr>
          <w:b w:val="0"/>
        </w:rPr>
        <w:t>The industrial long-term forecast is modeled and presented on a calendar basis. The long-term calendar forecast is integrated with the short-term calendar forecast and then both are converted to a billing basis. Attachment 5.1.3-1 shows the unadjusted long-term calendar forecast, as well as the adjusted calendar and billing forecasts</w:t>
      </w:r>
      <w:r w:rsidR="00624279">
        <w:rPr>
          <w:b w:val="0"/>
        </w:rPr>
        <w:t>.</w:t>
      </w:r>
      <w:r>
        <w:rPr>
          <w:b w:val="0"/>
        </w:rPr>
        <w:t xml:space="preserve"> </w:t>
      </w:r>
      <w:r w:rsidR="000506D2">
        <w:rPr>
          <w:b w:val="0"/>
        </w:rPr>
        <w:t>A</w:t>
      </w:r>
      <w:r>
        <w:rPr>
          <w:b w:val="0"/>
        </w:rPr>
        <w:t>djust</w:t>
      </w:r>
      <w:r w:rsidR="000506D2">
        <w:rPr>
          <w:b w:val="0"/>
        </w:rPr>
        <w:t>ments are made</w:t>
      </w:r>
      <w:r>
        <w:rPr>
          <w:b w:val="0"/>
        </w:rPr>
        <w:t xml:space="preserve"> for reductions in sales resulting from cogeneration and </w:t>
      </w:r>
      <w:r w:rsidR="000506D2">
        <w:rPr>
          <w:b w:val="0"/>
        </w:rPr>
        <w:t xml:space="preserve">behind-the-meter </w:t>
      </w:r>
      <w:r>
        <w:rPr>
          <w:b w:val="0"/>
        </w:rPr>
        <w:t>solar.</w:t>
      </w:r>
      <w:r w:rsidR="00086A34">
        <w:rPr>
          <w:b w:val="0"/>
        </w:rPr>
        <w:t xml:space="preserve"> </w:t>
      </w:r>
      <w:r w:rsidR="00086A34" w:rsidRPr="00132BB2">
        <w:rPr>
          <w:b w:val="0"/>
        </w:rPr>
        <w:t xml:space="preserve">See </w:t>
      </w:r>
      <w:r w:rsidR="00B3486B">
        <w:rPr>
          <w:b w:val="0"/>
        </w:rPr>
        <w:t>S</w:t>
      </w:r>
      <w:r w:rsidR="00086A34" w:rsidRPr="00132BB2">
        <w:rPr>
          <w:b w:val="0"/>
        </w:rPr>
        <w:t xml:space="preserve">ection </w:t>
      </w:r>
      <w:r w:rsidR="00D30037">
        <w:rPr>
          <w:b w:val="0"/>
        </w:rPr>
        <w:t>9</w:t>
      </w:r>
      <w:r w:rsidR="00086A34" w:rsidRPr="00132BB2">
        <w:rPr>
          <w:b w:val="0"/>
        </w:rPr>
        <w:t>.4</w:t>
      </w:r>
      <w:r w:rsidR="00086A34">
        <w:rPr>
          <w:b w:val="0"/>
        </w:rPr>
        <w:t xml:space="preserve"> </w:t>
      </w:r>
      <w:r w:rsidR="00086A34" w:rsidRPr="00132BB2">
        <w:rPr>
          <w:b w:val="0"/>
        </w:rPr>
        <w:t>for more information on</w:t>
      </w:r>
      <w:r w:rsidR="00086A34">
        <w:rPr>
          <w:b w:val="0"/>
        </w:rPr>
        <w:t xml:space="preserve"> the</w:t>
      </w:r>
      <w:r w:rsidR="00086A34" w:rsidRPr="00132BB2">
        <w:rPr>
          <w:b w:val="0"/>
        </w:rPr>
        <w:t xml:space="preserve"> adjustments made to the peak demand </w:t>
      </w:r>
      <w:r w:rsidR="00086A34">
        <w:rPr>
          <w:b w:val="0"/>
        </w:rPr>
        <w:t xml:space="preserve">and energy </w:t>
      </w:r>
      <w:r w:rsidR="00086A34" w:rsidRPr="00132BB2">
        <w:rPr>
          <w:b w:val="0"/>
        </w:rPr>
        <w:t>forecast</w:t>
      </w:r>
      <w:r w:rsidR="00086A34">
        <w:rPr>
          <w:b w:val="0"/>
        </w:rPr>
        <w:t>s</w:t>
      </w:r>
      <w:r w:rsidR="00086A34" w:rsidRPr="00132BB2">
        <w:rPr>
          <w:b w:val="0"/>
        </w:rPr>
        <w:t>.</w:t>
      </w:r>
    </w:p>
    <w:p w14:paraId="4F8E9CC6" w14:textId="77777777" w:rsidR="00881002" w:rsidRPr="00DE1C77" w:rsidRDefault="00881002" w:rsidP="004B1880">
      <w:pPr>
        <w:pStyle w:val="BodyText"/>
        <w:spacing w:after="0" w:line="360" w:lineRule="auto"/>
        <w:jc w:val="both"/>
        <w:rPr>
          <w:b w:val="0"/>
        </w:rPr>
      </w:pPr>
    </w:p>
    <w:p w14:paraId="6D3F12F2" w14:textId="77A4AA09" w:rsidR="00EE143E" w:rsidRDefault="00881002" w:rsidP="00881002">
      <w:pPr>
        <w:pStyle w:val="BodyText"/>
        <w:spacing w:line="360" w:lineRule="auto"/>
        <w:jc w:val="both"/>
        <w:rPr>
          <w:b w:val="0"/>
        </w:rPr>
        <w:sectPr w:rsidR="00EE143E" w:rsidSect="00CE15CB">
          <w:pgSz w:w="12240" w:h="15840"/>
          <w:pgMar w:top="1440" w:right="1440" w:bottom="1440" w:left="1440" w:header="720" w:footer="720" w:gutter="0"/>
          <w:cols w:space="720"/>
          <w:docGrid w:linePitch="273"/>
        </w:sectPr>
      </w:pPr>
      <w:r w:rsidRPr="00DE1C77">
        <w:rPr>
          <w:b w:val="0"/>
        </w:rPr>
        <w:t>Several attachments follow</w:t>
      </w:r>
      <w:r w:rsidR="00B3486B">
        <w:rPr>
          <w:b w:val="0"/>
        </w:rPr>
        <w:t>,</w:t>
      </w:r>
      <w:r w:rsidRPr="00DE1C77">
        <w:rPr>
          <w:b w:val="0"/>
        </w:rPr>
        <w:t xml:space="preserve"> which comprise the Budget </w:t>
      </w:r>
      <w:r w:rsidR="00D30037" w:rsidRPr="00DE1C77">
        <w:rPr>
          <w:b w:val="0"/>
        </w:rPr>
        <w:t>20</w:t>
      </w:r>
      <w:r w:rsidR="00D30037">
        <w:rPr>
          <w:b w:val="0"/>
        </w:rPr>
        <w:t>25</w:t>
      </w:r>
      <w:r w:rsidR="00D30037" w:rsidRPr="00DE1C77">
        <w:rPr>
          <w:b w:val="0"/>
        </w:rPr>
        <w:t xml:space="preserve"> </w:t>
      </w:r>
      <w:r w:rsidRPr="00DE1C77">
        <w:rPr>
          <w:b w:val="0"/>
        </w:rPr>
        <w:t>Industrial Long-</w:t>
      </w:r>
      <w:r w:rsidR="00D55743">
        <w:rPr>
          <w:b w:val="0"/>
        </w:rPr>
        <w:t>T</w:t>
      </w:r>
      <w:r w:rsidRPr="00DE1C77">
        <w:rPr>
          <w:b w:val="0"/>
        </w:rPr>
        <w:t>erm Forecast.</w:t>
      </w:r>
    </w:p>
    <w:p w14:paraId="1228BE97" w14:textId="77777777" w:rsidR="005A29F9" w:rsidRDefault="00000F6C" w:rsidP="009864D6">
      <w:pPr>
        <w:pStyle w:val="BodyTextIndent"/>
        <w:spacing w:line="360" w:lineRule="auto"/>
        <w:ind w:left="0"/>
        <w:jc w:val="left"/>
      </w:pPr>
      <w:r>
        <w:rPr>
          <w:b/>
        </w:rPr>
        <w:lastRenderedPageBreak/>
        <w:t>Attachment 5.1.3-1: Total Industrial Energy Sales (GWh)</w:t>
      </w:r>
    </w:p>
    <w:p w14:paraId="40246964" w14:textId="77777777" w:rsidR="00235820" w:rsidRDefault="00235820" w:rsidP="00235820">
      <w:pPr>
        <w:pStyle w:val="BodyTextIndent"/>
        <w:spacing w:after="0"/>
        <w:ind w:left="0"/>
        <w:rPr>
          <w:b/>
        </w:rPr>
      </w:pPr>
      <w:r>
        <w:rPr>
          <w:b/>
        </w:rPr>
        <w:t>Industrial Long-Term Forecast</w:t>
      </w:r>
    </w:p>
    <w:p w14:paraId="4FEC068E" w14:textId="1075AF07" w:rsidR="00235820" w:rsidRDefault="00235820" w:rsidP="00235820">
      <w:pPr>
        <w:pStyle w:val="BodyTextIndent"/>
        <w:spacing w:after="0"/>
        <w:ind w:left="0"/>
        <w:rPr>
          <w:b/>
        </w:rPr>
      </w:pPr>
      <w:r w:rsidRPr="0068575E">
        <w:rPr>
          <w:b/>
        </w:rPr>
        <w:t xml:space="preserve">Budget </w:t>
      </w:r>
      <w:r w:rsidR="000326C5" w:rsidRPr="0068575E">
        <w:rPr>
          <w:b/>
        </w:rPr>
        <w:t>20</w:t>
      </w:r>
      <w:r w:rsidR="000326C5">
        <w:rPr>
          <w:b/>
        </w:rPr>
        <w:t>25</w:t>
      </w:r>
    </w:p>
    <w:p w14:paraId="2CC45EA3" w14:textId="77777777" w:rsidR="004D1E87" w:rsidRDefault="004D1E87" w:rsidP="00235820">
      <w:pPr>
        <w:pStyle w:val="BodyTextIndent"/>
        <w:spacing w:after="0"/>
        <w:ind w:left="0"/>
        <w:rPr>
          <w:b/>
        </w:rPr>
      </w:pPr>
    </w:p>
    <w:p w14:paraId="71E45B17" w14:textId="2D88C7AA" w:rsidR="000326C5" w:rsidRDefault="000326C5" w:rsidP="00235820">
      <w:pPr>
        <w:pStyle w:val="BodyTextIndent"/>
        <w:spacing w:line="360" w:lineRule="auto"/>
        <w:ind w:left="0"/>
        <w:rPr>
          <w:noProof/>
        </w:rPr>
      </w:pPr>
      <w:r w:rsidRPr="000326C5">
        <w:rPr>
          <w:noProof/>
        </w:rPr>
        <w:drawing>
          <wp:inline distT="0" distB="0" distL="0" distR="0" wp14:anchorId="7F28F473" wp14:editId="5BD24AB4">
            <wp:extent cx="7143750" cy="4076700"/>
            <wp:effectExtent l="0" t="0" r="0" b="0"/>
            <wp:docPr id="1685057361"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7143750" cy="4076700"/>
                    </a:xfrm>
                    <a:prstGeom prst="rect">
                      <a:avLst/>
                    </a:prstGeom>
                    <a:noFill/>
                    <a:ln>
                      <a:noFill/>
                    </a:ln>
                  </pic:spPr>
                </pic:pic>
              </a:graphicData>
            </a:graphic>
          </wp:inline>
        </w:drawing>
      </w:r>
    </w:p>
    <w:p w14:paraId="15A97331" w14:textId="7EAD8B0E" w:rsidR="00FC66D5" w:rsidRDefault="00FC66D5" w:rsidP="00235820">
      <w:pPr>
        <w:pStyle w:val="BodyTextIndent"/>
        <w:spacing w:line="360" w:lineRule="auto"/>
        <w:ind w:left="0"/>
        <w:rPr>
          <w:noProof/>
        </w:rPr>
      </w:pPr>
    </w:p>
    <w:p w14:paraId="3FC35A43" w14:textId="77777777" w:rsidR="00000F6C" w:rsidRPr="008D45D4" w:rsidRDefault="00000F6C" w:rsidP="009864D6">
      <w:pPr>
        <w:pStyle w:val="BodyTextIndent"/>
        <w:spacing w:line="360" w:lineRule="auto"/>
        <w:ind w:left="0"/>
        <w:jc w:val="left"/>
      </w:pPr>
    </w:p>
    <w:p w14:paraId="446A89E4" w14:textId="0AD17215" w:rsidR="00343C16" w:rsidRPr="008D45D4" w:rsidRDefault="008D45D4" w:rsidP="00576947">
      <w:pPr>
        <w:spacing w:after="200" w:line="276" w:lineRule="auto"/>
        <w:jc w:val="both"/>
        <w:rPr>
          <w:b w:val="0"/>
        </w:rPr>
      </w:pPr>
      <w:r w:rsidRPr="008D45D4">
        <w:rPr>
          <w:b w:val="0"/>
        </w:rPr>
        <w:t xml:space="preserve">*In the following tables, values are based on the long-term </w:t>
      </w:r>
      <w:r w:rsidR="00FE5426">
        <w:rPr>
          <w:b w:val="0"/>
        </w:rPr>
        <w:t>calendar</w:t>
      </w:r>
      <w:r w:rsidR="00FE5426" w:rsidRPr="008D45D4">
        <w:rPr>
          <w:b w:val="0"/>
        </w:rPr>
        <w:t xml:space="preserve"> </w:t>
      </w:r>
      <w:r w:rsidRPr="008D45D4">
        <w:rPr>
          <w:b w:val="0"/>
        </w:rPr>
        <w:t>end-use model. No external adjustments were made.</w:t>
      </w:r>
    </w:p>
    <w:p w14:paraId="0B9A96ED" w14:textId="57143E2D" w:rsidR="00000F6C" w:rsidRDefault="008D45D4" w:rsidP="004B1880">
      <w:pPr>
        <w:spacing w:after="200" w:line="276" w:lineRule="auto"/>
        <w:jc w:val="left"/>
      </w:pPr>
      <w:r>
        <w:rPr>
          <w:b w:val="0"/>
        </w:rPr>
        <w:br w:type="page"/>
      </w:r>
      <w:r w:rsidR="00000F6C">
        <w:lastRenderedPageBreak/>
        <w:t>Attachment 5.1.3-2: Industrial Sales by NAICS Category (GWh and Percentages)</w:t>
      </w:r>
    </w:p>
    <w:p w14:paraId="449CB93F" w14:textId="64C96383" w:rsidR="00235820" w:rsidRDefault="00235820" w:rsidP="00235820">
      <w:pPr>
        <w:pStyle w:val="BodyTextIndent"/>
        <w:spacing w:after="0"/>
        <w:ind w:left="0"/>
        <w:rPr>
          <w:b/>
        </w:rPr>
      </w:pPr>
      <w:r>
        <w:rPr>
          <w:b/>
        </w:rPr>
        <w:t>Industrial Long-Term Forecast (LoadMAP-I)</w:t>
      </w:r>
      <w:r w:rsidR="00115478">
        <w:rPr>
          <w:b/>
        </w:rPr>
        <w:t xml:space="preserve"> Unadjusted</w:t>
      </w:r>
    </w:p>
    <w:p w14:paraId="4B7B73BD" w14:textId="70BF9751" w:rsidR="00235820" w:rsidRDefault="00235820" w:rsidP="00235820">
      <w:pPr>
        <w:pStyle w:val="BodyTextIndent"/>
        <w:spacing w:after="0"/>
        <w:ind w:left="0"/>
        <w:rPr>
          <w:b/>
        </w:rPr>
      </w:pPr>
      <w:r w:rsidRPr="0068575E">
        <w:rPr>
          <w:b/>
        </w:rPr>
        <w:t xml:space="preserve">Budget </w:t>
      </w:r>
      <w:r w:rsidR="000326C5" w:rsidRPr="0068575E">
        <w:rPr>
          <w:b/>
        </w:rPr>
        <w:t>20</w:t>
      </w:r>
      <w:r w:rsidR="000326C5">
        <w:rPr>
          <w:b/>
        </w:rPr>
        <w:t>25</w:t>
      </w:r>
    </w:p>
    <w:p w14:paraId="5A13E8EF" w14:textId="77777777" w:rsidR="00235820" w:rsidRDefault="00235820" w:rsidP="00235820">
      <w:pPr>
        <w:pStyle w:val="BodyTextIndent"/>
        <w:spacing w:after="0"/>
        <w:ind w:left="0"/>
        <w:rPr>
          <w:b/>
        </w:rPr>
      </w:pPr>
    </w:p>
    <w:p w14:paraId="48DBF968" w14:textId="77777777" w:rsidR="00235820" w:rsidRDefault="00235820" w:rsidP="00235820">
      <w:pPr>
        <w:pStyle w:val="BodyTextIndent"/>
        <w:spacing w:after="0"/>
        <w:ind w:left="0"/>
        <w:rPr>
          <w:b/>
        </w:rPr>
      </w:pPr>
      <w:r>
        <w:rPr>
          <w:b/>
        </w:rPr>
        <w:t>GWh Sales</w:t>
      </w:r>
    </w:p>
    <w:p w14:paraId="28787756" w14:textId="2104C554" w:rsidR="00F07515" w:rsidRDefault="00F07515" w:rsidP="004B1880">
      <w:pPr>
        <w:spacing w:line="276" w:lineRule="auto"/>
        <w:rPr>
          <w:noProof/>
        </w:rPr>
      </w:pPr>
    </w:p>
    <w:p w14:paraId="587686EC" w14:textId="5A26A94B" w:rsidR="000326C5" w:rsidRDefault="00F92B04" w:rsidP="00C0464B">
      <w:pPr>
        <w:spacing w:after="200" w:line="276" w:lineRule="auto"/>
        <w:rPr>
          <w:noProof/>
        </w:rPr>
      </w:pPr>
      <w:r w:rsidRPr="00F92B04">
        <w:rPr>
          <w:noProof/>
        </w:rPr>
        <w:drawing>
          <wp:inline distT="0" distB="0" distL="0" distR="0" wp14:anchorId="00CDB979" wp14:editId="5F861A7E">
            <wp:extent cx="8229600" cy="3369310"/>
            <wp:effectExtent l="0" t="0" r="0" b="2540"/>
            <wp:docPr id="1258849849"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8229600" cy="3369310"/>
                    </a:xfrm>
                    <a:prstGeom prst="rect">
                      <a:avLst/>
                    </a:prstGeom>
                    <a:noFill/>
                    <a:ln>
                      <a:noFill/>
                    </a:ln>
                  </pic:spPr>
                </pic:pic>
              </a:graphicData>
            </a:graphic>
          </wp:inline>
        </w:drawing>
      </w:r>
    </w:p>
    <w:p w14:paraId="1044D083" w14:textId="24777EC0" w:rsidR="007712A2" w:rsidRDefault="007712A2" w:rsidP="00C0464B">
      <w:pPr>
        <w:spacing w:after="200" w:line="276" w:lineRule="auto"/>
        <w:rPr>
          <w:b w:val="0"/>
        </w:rPr>
      </w:pPr>
      <w:r>
        <w:br w:type="page"/>
      </w:r>
    </w:p>
    <w:p w14:paraId="3AFFFB2C" w14:textId="77777777" w:rsidR="007712A2" w:rsidRDefault="007712A2" w:rsidP="007712A2">
      <w:pPr>
        <w:pStyle w:val="BodyTextIndent"/>
        <w:spacing w:line="360" w:lineRule="auto"/>
        <w:ind w:left="0"/>
        <w:jc w:val="left"/>
      </w:pPr>
      <w:r>
        <w:rPr>
          <w:b/>
        </w:rPr>
        <w:lastRenderedPageBreak/>
        <w:t>Attachment 5.1.3-2: Industrial Sales by NAICS Category (GWh and Percentages) (cont’d)</w:t>
      </w:r>
    </w:p>
    <w:p w14:paraId="095388B3" w14:textId="6A93B3B5" w:rsidR="007712A2" w:rsidRDefault="007712A2" w:rsidP="007712A2">
      <w:pPr>
        <w:pStyle w:val="BodyTextIndent"/>
        <w:spacing w:after="0"/>
        <w:ind w:left="0"/>
        <w:rPr>
          <w:b/>
        </w:rPr>
      </w:pPr>
      <w:r>
        <w:rPr>
          <w:b/>
        </w:rPr>
        <w:t>Industrial Long-Term Forecast (LoadMAP-I)</w:t>
      </w:r>
      <w:r w:rsidR="00115478">
        <w:rPr>
          <w:b/>
        </w:rPr>
        <w:t xml:space="preserve"> Unadjusted</w:t>
      </w:r>
    </w:p>
    <w:p w14:paraId="64AFF9F7" w14:textId="57560C87" w:rsidR="007712A2" w:rsidRDefault="007712A2" w:rsidP="007712A2">
      <w:pPr>
        <w:pStyle w:val="BodyTextIndent"/>
        <w:spacing w:after="0"/>
        <w:ind w:left="0"/>
        <w:rPr>
          <w:b/>
        </w:rPr>
      </w:pPr>
      <w:r w:rsidRPr="0068575E">
        <w:rPr>
          <w:b/>
        </w:rPr>
        <w:t xml:space="preserve">Budget </w:t>
      </w:r>
      <w:r w:rsidR="000326C5" w:rsidRPr="0068575E">
        <w:rPr>
          <w:b/>
        </w:rPr>
        <w:t>20</w:t>
      </w:r>
      <w:r w:rsidR="000326C5">
        <w:rPr>
          <w:b/>
        </w:rPr>
        <w:t>25</w:t>
      </w:r>
    </w:p>
    <w:p w14:paraId="4E1568BF" w14:textId="77777777" w:rsidR="007712A2" w:rsidRDefault="007712A2" w:rsidP="007712A2">
      <w:pPr>
        <w:pStyle w:val="BodyTextIndent"/>
        <w:spacing w:after="0"/>
        <w:ind w:left="0"/>
        <w:rPr>
          <w:b/>
        </w:rPr>
      </w:pPr>
    </w:p>
    <w:p w14:paraId="2660566F" w14:textId="7603D497" w:rsidR="007712A2" w:rsidRDefault="007712A2" w:rsidP="007712A2">
      <w:pPr>
        <w:pStyle w:val="BodyTextIndent"/>
        <w:spacing w:after="0"/>
        <w:ind w:left="0"/>
        <w:rPr>
          <w:b/>
        </w:rPr>
      </w:pPr>
      <w:r>
        <w:rPr>
          <w:b/>
        </w:rPr>
        <w:t>Percentage of Total Sales</w:t>
      </w:r>
    </w:p>
    <w:p w14:paraId="0BFFA3A3" w14:textId="77777777" w:rsidR="00ED5C37" w:rsidRDefault="00ED5C37" w:rsidP="007712A2">
      <w:pPr>
        <w:pStyle w:val="BodyTextIndent"/>
        <w:spacing w:after="0"/>
        <w:ind w:left="0"/>
        <w:rPr>
          <w:b/>
        </w:rPr>
      </w:pPr>
    </w:p>
    <w:p w14:paraId="58E09B24" w14:textId="121DAC1A" w:rsidR="007712A2" w:rsidRDefault="005D3E35" w:rsidP="007712A2">
      <w:pPr>
        <w:pStyle w:val="BodyTextIndent"/>
        <w:spacing w:after="0"/>
        <w:ind w:left="0"/>
        <w:rPr>
          <w:b/>
        </w:rPr>
      </w:pPr>
      <w:r w:rsidRPr="005D3E35">
        <w:rPr>
          <w:b/>
          <w:noProof/>
        </w:rPr>
        <w:drawing>
          <wp:inline distT="0" distB="0" distL="0" distR="0" wp14:anchorId="1DB50D2C" wp14:editId="3023118B">
            <wp:extent cx="8229600" cy="3391535"/>
            <wp:effectExtent l="0" t="0" r="0" b="0"/>
            <wp:docPr id="121488024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229600" cy="3391535"/>
                    </a:xfrm>
                    <a:prstGeom prst="rect">
                      <a:avLst/>
                    </a:prstGeom>
                    <a:noFill/>
                    <a:ln>
                      <a:noFill/>
                    </a:ln>
                  </pic:spPr>
                </pic:pic>
              </a:graphicData>
            </a:graphic>
          </wp:inline>
        </w:drawing>
      </w:r>
    </w:p>
    <w:p w14:paraId="000EDF91" w14:textId="77777777" w:rsidR="000326C5" w:rsidRDefault="000326C5" w:rsidP="007712A2">
      <w:pPr>
        <w:pStyle w:val="BodyTextIndent"/>
        <w:spacing w:after="0"/>
        <w:ind w:left="0"/>
        <w:rPr>
          <w:b/>
        </w:rPr>
      </w:pPr>
    </w:p>
    <w:p w14:paraId="07E6BA56" w14:textId="2537E5CC" w:rsidR="00F07515" w:rsidRDefault="00F07515" w:rsidP="00C0464B">
      <w:pPr>
        <w:pStyle w:val="BodyTextIndent"/>
        <w:spacing w:line="360" w:lineRule="auto"/>
        <w:ind w:left="0"/>
        <w:rPr>
          <w:noProof/>
        </w:rPr>
      </w:pPr>
    </w:p>
    <w:p w14:paraId="3BACA479" w14:textId="1728E0B1" w:rsidR="00000F6C" w:rsidRDefault="00000F6C" w:rsidP="00C0464B">
      <w:pPr>
        <w:pStyle w:val="BodyTextIndent"/>
        <w:spacing w:line="360" w:lineRule="auto"/>
        <w:ind w:left="0"/>
      </w:pPr>
    </w:p>
    <w:p w14:paraId="692E7B1D" w14:textId="77777777" w:rsidR="00000F6C" w:rsidRDefault="00000F6C" w:rsidP="009864D6">
      <w:pPr>
        <w:pStyle w:val="BodyTextIndent"/>
        <w:spacing w:line="360" w:lineRule="auto"/>
        <w:ind w:left="0"/>
        <w:jc w:val="left"/>
      </w:pPr>
    </w:p>
    <w:p w14:paraId="3735FA7A" w14:textId="77777777" w:rsidR="00343C16" w:rsidRDefault="00343C16">
      <w:pPr>
        <w:spacing w:after="200" w:line="276" w:lineRule="auto"/>
        <w:jc w:val="left"/>
      </w:pPr>
      <w:r>
        <w:rPr>
          <w:b w:val="0"/>
        </w:rPr>
        <w:br w:type="page"/>
      </w:r>
    </w:p>
    <w:p w14:paraId="2CD6E639" w14:textId="77777777" w:rsidR="00000F6C" w:rsidRDefault="00000F6C" w:rsidP="00000F6C">
      <w:pPr>
        <w:pStyle w:val="BodyTextIndent"/>
        <w:spacing w:line="360" w:lineRule="auto"/>
        <w:ind w:left="0"/>
        <w:jc w:val="left"/>
      </w:pPr>
      <w:r>
        <w:rPr>
          <w:b/>
        </w:rPr>
        <w:lastRenderedPageBreak/>
        <w:t>Attachment 5.1.3-3: Industrial Sales by End Use (GWh and Percentages)</w:t>
      </w:r>
    </w:p>
    <w:p w14:paraId="4B4AF29F" w14:textId="2529BD51" w:rsidR="00235820" w:rsidRDefault="00235820" w:rsidP="00235820">
      <w:pPr>
        <w:pStyle w:val="BodyTextIndent"/>
        <w:spacing w:after="0"/>
        <w:ind w:left="0"/>
        <w:rPr>
          <w:b/>
        </w:rPr>
      </w:pPr>
      <w:r>
        <w:rPr>
          <w:b/>
        </w:rPr>
        <w:t>Industrial Long-Term Forecast (LoadMAP-I)</w:t>
      </w:r>
      <w:r w:rsidR="00115478">
        <w:rPr>
          <w:b/>
        </w:rPr>
        <w:t xml:space="preserve"> Unadjusted</w:t>
      </w:r>
    </w:p>
    <w:p w14:paraId="154A9668" w14:textId="107A6791" w:rsidR="00000F6C" w:rsidRDefault="00235820" w:rsidP="007712A2">
      <w:pPr>
        <w:pStyle w:val="BodyTextIndent"/>
        <w:spacing w:after="0"/>
        <w:ind w:left="0"/>
        <w:rPr>
          <w:b/>
        </w:rPr>
      </w:pPr>
      <w:r w:rsidRPr="0068575E">
        <w:rPr>
          <w:b/>
        </w:rPr>
        <w:t xml:space="preserve">Budget </w:t>
      </w:r>
      <w:r w:rsidR="00E41775" w:rsidRPr="0068575E">
        <w:rPr>
          <w:b/>
        </w:rPr>
        <w:t>20</w:t>
      </w:r>
      <w:r w:rsidR="00E41775">
        <w:rPr>
          <w:b/>
        </w:rPr>
        <w:t>25</w:t>
      </w:r>
    </w:p>
    <w:p w14:paraId="315611CE" w14:textId="54497433" w:rsidR="000326C5" w:rsidRDefault="00EC7274" w:rsidP="000B76F0">
      <w:pPr>
        <w:spacing w:before="240" w:after="200" w:line="276" w:lineRule="auto"/>
        <w:rPr>
          <w:b w:val="0"/>
          <w:noProof/>
        </w:rPr>
      </w:pPr>
      <w:r w:rsidRPr="00EC7274">
        <w:rPr>
          <w:b w:val="0"/>
          <w:noProof/>
        </w:rPr>
        <w:drawing>
          <wp:inline distT="0" distB="0" distL="0" distR="0" wp14:anchorId="4F587A83" wp14:editId="53A0B498">
            <wp:extent cx="8229600" cy="3005455"/>
            <wp:effectExtent l="0" t="0" r="0" b="4445"/>
            <wp:docPr id="1025227580"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8229600" cy="3005455"/>
                    </a:xfrm>
                    <a:prstGeom prst="rect">
                      <a:avLst/>
                    </a:prstGeom>
                    <a:noFill/>
                    <a:ln>
                      <a:noFill/>
                    </a:ln>
                  </pic:spPr>
                </pic:pic>
              </a:graphicData>
            </a:graphic>
          </wp:inline>
        </w:drawing>
      </w:r>
    </w:p>
    <w:p w14:paraId="25ADA18A" w14:textId="69FD4176" w:rsidR="000B76F0" w:rsidRDefault="000B76F0" w:rsidP="000B76F0">
      <w:pPr>
        <w:spacing w:before="240" w:after="200" w:line="276" w:lineRule="auto"/>
        <w:rPr>
          <w:b w:val="0"/>
          <w:noProof/>
        </w:rPr>
      </w:pPr>
    </w:p>
    <w:p w14:paraId="58D1A889" w14:textId="524D4A59" w:rsidR="00343C16" w:rsidRDefault="00343C16" w:rsidP="004D1E87">
      <w:pPr>
        <w:spacing w:after="200" w:line="276" w:lineRule="auto"/>
      </w:pPr>
      <w:r>
        <w:rPr>
          <w:b w:val="0"/>
        </w:rPr>
        <w:br w:type="page"/>
      </w:r>
    </w:p>
    <w:p w14:paraId="7E3B7E5C" w14:textId="77777777" w:rsidR="001B5EC7" w:rsidRDefault="001B5EC7" w:rsidP="00000F6C">
      <w:pPr>
        <w:pStyle w:val="BodyTextIndent"/>
        <w:spacing w:line="360" w:lineRule="auto"/>
        <w:ind w:left="0"/>
        <w:jc w:val="left"/>
        <w:rPr>
          <w:b/>
        </w:rPr>
        <w:sectPr w:rsidR="001B5EC7" w:rsidSect="006D5135">
          <w:pgSz w:w="15840" w:h="12240" w:orient="landscape"/>
          <w:pgMar w:top="1440" w:right="1440" w:bottom="1440" w:left="1440" w:header="720" w:footer="720" w:gutter="0"/>
          <w:cols w:space="720"/>
          <w:docGrid w:linePitch="273"/>
        </w:sectPr>
      </w:pPr>
    </w:p>
    <w:p w14:paraId="4B6B9385" w14:textId="74C59D7A" w:rsidR="00000F6C" w:rsidRPr="000616AF" w:rsidRDefault="00000F6C" w:rsidP="00000F6C">
      <w:pPr>
        <w:pStyle w:val="BodyTextIndent"/>
        <w:spacing w:line="360" w:lineRule="auto"/>
        <w:ind w:left="0"/>
        <w:jc w:val="left"/>
        <w:rPr>
          <w:b/>
          <w:bCs/>
        </w:rPr>
      </w:pPr>
      <w:r>
        <w:rPr>
          <w:b/>
        </w:rPr>
        <w:lastRenderedPageBreak/>
        <w:t xml:space="preserve">Attachment 5.1.3-4: </w:t>
      </w:r>
      <w:r w:rsidR="000616AF">
        <w:rPr>
          <w:b/>
        </w:rPr>
        <w:t xml:space="preserve">Industrial </w:t>
      </w:r>
      <w:r>
        <w:rPr>
          <w:b/>
        </w:rPr>
        <w:t>Cogeneration</w:t>
      </w:r>
      <w:r w:rsidR="000616AF">
        <w:rPr>
          <w:b/>
        </w:rPr>
        <w:t xml:space="preserve"> </w:t>
      </w:r>
      <w:r w:rsidR="000616AF" w:rsidRPr="000616AF">
        <w:rPr>
          <w:b/>
          <w:bCs/>
        </w:rPr>
        <w:t>– Energy / Meter (GWh)</w:t>
      </w:r>
    </w:p>
    <w:p w14:paraId="79073825" w14:textId="77777777" w:rsidR="006D5135" w:rsidRDefault="006D5135" w:rsidP="006D5135">
      <w:pPr>
        <w:pStyle w:val="BodyTextIndent"/>
        <w:spacing w:after="0"/>
        <w:ind w:left="0"/>
        <w:rPr>
          <w:b/>
        </w:rPr>
      </w:pPr>
      <w:r>
        <w:rPr>
          <w:b/>
        </w:rPr>
        <w:t>Industrial Long-Term Forecast</w:t>
      </w:r>
    </w:p>
    <w:p w14:paraId="2501D3B0" w14:textId="0F697685" w:rsidR="006D5135" w:rsidRDefault="006D5135" w:rsidP="006D5135">
      <w:pPr>
        <w:pStyle w:val="BodyTextIndent"/>
        <w:spacing w:after="0"/>
        <w:ind w:left="0"/>
        <w:rPr>
          <w:b/>
        </w:rPr>
      </w:pPr>
      <w:r w:rsidRPr="0068575E">
        <w:rPr>
          <w:b/>
        </w:rPr>
        <w:t xml:space="preserve">Budget </w:t>
      </w:r>
      <w:r w:rsidR="00E41775" w:rsidRPr="0068575E">
        <w:rPr>
          <w:b/>
        </w:rPr>
        <w:t>20</w:t>
      </w:r>
      <w:r w:rsidR="00E41775">
        <w:rPr>
          <w:b/>
        </w:rPr>
        <w:t>25</w:t>
      </w:r>
    </w:p>
    <w:p w14:paraId="1F767163" w14:textId="2754FB60" w:rsidR="00104030" w:rsidRDefault="00104030" w:rsidP="006D5135">
      <w:pPr>
        <w:pStyle w:val="BodyTextIndent"/>
        <w:spacing w:after="0"/>
        <w:ind w:left="0"/>
        <w:rPr>
          <w:b/>
        </w:rPr>
      </w:pPr>
    </w:p>
    <w:p w14:paraId="4A091591" w14:textId="38DEE169" w:rsidR="00E41775" w:rsidRDefault="0073115F" w:rsidP="001B5EC7">
      <w:pPr>
        <w:pStyle w:val="BodyTextIndent"/>
        <w:spacing w:line="360" w:lineRule="auto"/>
        <w:ind w:left="0"/>
        <w:rPr>
          <w:noProof/>
        </w:rPr>
      </w:pPr>
      <w:r w:rsidRPr="0073115F">
        <w:rPr>
          <w:noProof/>
        </w:rPr>
        <w:drawing>
          <wp:inline distT="0" distB="0" distL="0" distR="0" wp14:anchorId="2B009AD3" wp14:editId="0557A2E4">
            <wp:extent cx="1322705" cy="4072255"/>
            <wp:effectExtent l="0" t="0" r="0" b="4445"/>
            <wp:docPr id="1192771970"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322705" cy="4072255"/>
                    </a:xfrm>
                    <a:prstGeom prst="rect">
                      <a:avLst/>
                    </a:prstGeom>
                    <a:noFill/>
                    <a:ln>
                      <a:noFill/>
                    </a:ln>
                  </pic:spPr>
                </pic:pic>
              </a:graphicData>
            </a:graphic>
          </wp:inline>
        </w:drawing>
      </w:r>
    </w:p>
    <w:p w14:paraId="5DC89DA9" w14:textId="77777777" w:rsidR="006B0B1D" w:rsidRDefault="006B0B1D" w:rsidP="001B5EC7">
      <w:pPr>
        <w:pStyle w:val="BodyTextIndent"/>
        <w:spacing w:line="360" w:lineRule="auto"/>
        <w:ind w:left="0"/>
        <w:rPr>
          <w:noProof/>
        </w:rPr>
      </w:pPr>
    </w:p>
    <w:p w14:paraId="5B5BFA37" w14:textId="2AAB433B" w:rsidR="00000F6C" w:rsidRPr="00097BE7" w:rsidRDefault="00000F6C" w:rsidP="00576947">
      <w:pPr>
        <w:pStyle w:val="Heading1"/>
        <w:jc w:val="left"/>
      </w:pPr>
      <w:bookmarkStart w:id="372" w:name="_Toc114629535"/>
      <w:bookmarkStart w:id="373" w:name="_Toc138581545"/>
      <w:bookmarkStart w:id="374" w:name="_Toc347120431"/>
      <w:bookmarkStart w:id="375" w:name="_Toc188257153"/>
      <w:bookmarkStart w:id="376" w:name="_Toc188257368"/>
      <w:bookmarkStart w:id="377" w:name="_Toc188257592"/>
      <w:bookmarkStart w:id="378" w:name="_Toc189162601"/>
      <w:r w:rsidRPr="00097BE7">
        <w:rPr>
          <w:rFonts w:ascii="Arial" w:hAnsi="Arial" w:cs="Arial"/>
          <w:b/>
          <w:bCs w:val="0"/>
          <w:color w:val="auto"/>
        </w:rPr>
        <w:t>5.2</w:t>
      </w:r>
      <w:r w:rsidRPr="00097BE7">
        <w:rPr>
          <w:rFonts w:ascii="Arial" w:hAnsi="Arial" w:cs="Arial"/>
          <w:b/>
          <w:bCs w:val="0"/>
          <w:color w:val="auto"/>
        </w:rPr>
        <w:tab/>
        <w:t>ANNUAL TO MONTHLY BASED ENERGY FORECASTS</w:t>
      </w:r>
      <w:bookmarkEnd w:id="372"/>
      <w:bookmarkEnd w:id="373"/>
      <w:bookmarkEnd w:id="374"/>
      <w:r w:rsidR="007325D3" w:rsidRPr="00097BE7">
        <w:rPr>
          <w:rFonts w:ascii="Arial" w:hAnsi="Arial" w:cs="Arial"/>
          <w:b/>
          <w:bCs w:val="0"/>
          <w:color w:val="auto"/>
        </w:rPr>
        <w:t xml:space="preserve"> AND SHORT-TERM INTEGRATION</w:t>
      </w:r>
      <w:bookmarkEnd w:id="375"/>
      <w:bookmarkEnd w:id="376"/>
      <w:bookmarkEnd w:id="377"/>
      <w:bookmarkEnd w:id="378"/>
    </w:p>
    <w:p w14:paraId="729AE46C" w14:textId="77777777" w:rsidR="00000F6C" w:rsidRDefault="00000F6C" w:rsidP="002D2723">
      <w:pPr>
        <w:pStyle w:val="BodyText"/>
        <w:spacing w:after="0" w:line="360" w:lineRule="auto"/>
        <w:jc w:val="left"/>
        <w:rPr>
          <w:b w:val="0"/>
        </w:rPr>
      </w:pPr>
    </w:p>
    <w:p w14:paraId="77794297" w14:textId="652610D0" w:rsidR="00A060AC" w:rsidRPr="006C4AEA" w:rsidRDefault="00080AF6" w:rsidP="00D87FC6">
      <w:pPr>
        <w:spacing w:line="360" w:lineRule="auto"/>
        <w:jc w:val="both"/>
        <w:rPr>
          <w:b w:val="0"/>
          <w:bCs/>
        </w:rPr>
      </w:pPr>
      <w:r w:rsidRPr="00E2654C">
        <w:rPr>
          <w:b w:val="0"/>
          <w:bCs/>
        </w:rPr>
        <w:t>The Company utilize</w:t>
      </w:r>
      <w:r w:rsidR="00DA3491">
        <w:rPr>
          <w:b w:val="0"/>
          <w:bCs/>
        </w:rPr>
        <w:t>s</w:t>
      </w:r>
      <w:r w:rsidRPr="00E2654C">
        <w:rPr>
          <w:b w:val="0"/>
          <w:bCs/>
        </w:rPr>
        <w:t xml:space="preserve"> hourly segment level end-use load shapes to project energy use by segment and by end</w:t>
      </w:r>
      <w:r w:rsidR="005D1B88">
        <w:rPr>
          <w:b w:val="0"/>
          <w:bCs/>
        </w:rPr>
        <w:t xml:space="preserve"> </w:t>
      </w:r>
      <w:r w:rsidRPr="00E2654C">
        <w:rPr>
          <w:b w:val="0"/>
          <w:bCs/>
        </w:rPr>
        <w:t xml:space="preserve">use to ultimately project energy use on a monthly basis for each class. The monthly energy by segment and end use is calibrated to history and the short-term energy forecast. The calibration helps allocate long-term energy projections across segment and at </w:t>
      </w:r>
      <w:r w:rsidR="00E2654C">
        <w:rPr>
          <w:b w:val="0"/>
          <w:bCs/>
        </w:rPr>
        <w:t xml:space="preserve">the </w:t>
      </w:r>
      <w:r w:rsidRPr="00E2654C">
        <w:rPr>
          <w:b w:val="0"/>
          <w:bCs/>
        </w:rPr>
        <w:t>end</w:t>
      </w:r>
      <w:r w:rsidR="005D1B88">
        <w:rPr>
          <w:b w:val="0"/>
          <w:bCs/>
        </w:rPr>
        <w:t>-</w:t>
      </w:r>
      <w:r w:rsidRPr="00E2654C">
        <w:rPr>
          <w:b w:val="0"/>
          <w:bCs/>
        </w:rPr>
        <w:t>use level by class.</w:t>
      </w:r>
      <w:r w:rsidR="00A060AC">
        <w:rPr>
          <w:b w:val="0"/>
          <w:bCs/>
        </w:rPr>
        <w:t xml:space="preserve"> </w:t>
      </w:r>
      <w:r w:rsidR="00A060AC" w:rsidRPr="00D87FC6">
        <w:rPr>
          <w:b w:val="0"/>
          <w:bCs/>
        </w:rPr>
        <w:t xml:space="preserve">By allocating on a monthly basis and utilizing the long-term LoadMAP forecast results, </w:t>
      </w:r>
      <w:r w:rsidR="00A060AC">
        <w:rPr>
          <w:b w:val="0"/>
          <w:bCs/>
        </w:rPr>
        <w:t xml:space="preserve">the forecast captures </w:t>
      </w:r>
      <w:r w:rsidR="00A060AC" w:rsidRPr="00D87FC6">
        <w:rPr>
          <w:b w:val="0"/>
          <w:bCs/>
        </w:rPr>
        <w:t xml:space="preserve">the changing monthly trends through time. </w:t>
      </w:r>
    </w:p>
    <w:p w14:paraId="49E49FA2" w14:textId="77777777" w:rsidR="00000F6C" w:rsidRPr="00000F6C" w:rsidRDefault="00000F6C" w:rsidP="00000F6C">
      <w:pPr>
        <w:pStyle w:val="BodyText"/>
        <w:spacing w:line="360" w:lineRule="auto"/>
        <w:jc w:val="left"/>
        <w:rPr>
          <w:b w:val="0"/>
        </w:rPr>
      </w:pPr>
    </w:p>
    <w:p w14:paraId="62CCED0E" w14:textId="77777777" w:rsidR="00000F6C" w:rsidRPr="003A3426" w:rsidRDefault="00000F6C" w:rsidP="00000F6C">
      <w:pPr>
        <w:pStyle w:val="Heading1"/>
        <w:sectPr w:rsidR="00000F6C" w:rsidRPr="003A3426" w:rsidSect="00CE15CB">
          <w:pgSz w:w="12240" w:h="15840"/>
          <w:pgMar w:top="1440" w:right="1440" w:bottom="1440" w:left="1440" w:header="720" w:footer="720" w:gutter="0"/>
          <w:cols w:space="720"/>
          <w:docGrid w:linePitch="273"/>
        </w:sectPr>
      </w:pPr>
    </w:p>
    <w:p w14:paraId="6AAF1ECE" w14:textId="77777777" w:rsidR="00357C3D" w:rsidRPr="002110B0" w:rsidRDefault="00357C3D" w:rsidP="00357C3D">
      <w:pPr>
        <w:pStyle w:val="Heading1"/>
        <w:jc w:val="left"/>
      </w:pPr>
      <w:bookmarkStart w:id="379" w:name="_Toc347120434"/>
      <w:bookmarkStart w:id="380" w:name="_Toc188257154"/>
      <w:bookmarkStart w:id="381" w:name="_Toc188257369"/>
      <w:bookmarkStart w:id="382" w:name="_Toc188257593"/>
      <w:bookmarkStart w:id="383" w:name="_Toc189162602"/>
      <w:r w:rsidRPr="00357C3D">
        <w:rPr>
          <w:rFonts w:ascii="Arial" w:hAnsi="Arial" w:cs="Arial"/>
          <w:b/>
          <w:color w:val="auto"/>
        </w:rPr>
        <w:lastRenderedPageBreak/>
        <w:t>6.0</w:t>
      </w:r>
      <w:r w:rsidRPr="00357C3D">
        <w:rPr>
          <w:rFonts w:ascii="Arial" w:hAnsi="Arial" w:cs="Arial"/>
          <w:b/>
          <w:color w:val="auto"/>
        </w:rPr>
        <w:tab/>
        <w:t>PEAK DEMAND FORECAST</w:t>
      </w:r>
      <w:bookmarkEnd w:id="379"/>
      <w:bookmarkEnd w:id="380"/>
      <w:bookmarkEnd w:id="381"/>
      <w:bookmarkEnd w:id="382"/>
      <w:bookmarkEnd w:id="383"/>
    </w:p>
    <w:p w14:paraId="5B3DB42E" w14:textId="77777777" w:rsidR="002324AB" w:rsidRDefault="002324AB" w:rsidP="00357C3D">
      <w:pPr>
        <w:pStyle w:val="BodyText"/>
        <w:spacing w:line="360" w:lineRule="auto"/>
        <w:jc w:val="left"/>
        <w:rPr>
          <w:b w:val="0"/>
        </w:rPr>
      </w:pPr>
    </w:p>
    <w:p w14:paraId="69361F67" w14:textId="7CDAE146" w:rsidR="00357C3D" w:rsidRPr="00357C3D" w:rsidRDefault="008412DA" w:rsidP="0009090A">
      <w:pPr>
        <w:pStyle w:val="BodyText"/>
        <w:spacing w:after="0" w:line="360" w:lineRule="auto"/>
        <w:jc w:val="both"/>
        <w:rPr>
          <w:b w:val="0"/>
        </w:rPr>
      </w:pPr>
      <w:r>
        <w:rPr>
          <w:b w:val="0"/>
        </w:rPr>
        <w:t xml:space="preserve">Georgia Power used MetrixND and MetrixLT in Budget </w:t>
      </w:r>
      <w:r w:rsidR="00C02F31">
        <w:rPr>
          <w:b w:val="0"/>
        </w:rPr>
        <w:t xml:space="preserve">2025 </w:t>
      </w:r>
      <w:r>
        <w:rPr>
          <w:b w:val="0"/>
        </w:rPr>
        <w:t xml:space="preserve">to develop peak demand forecasts. These are Itron products used to </w:t>
      </w:r>
      <w:r w:rsidR="00E42096">
        <w:rPr>
          <w:b w:val="0"/>
        </w:rPr>
        <w:t xml:space="preserve">create </w:t>
      </w:r>
      <w:r>
        <w:rPr>
          <w:b w:val="0"/>
        </w:rPr>
        <w:t>regression models and calibrate the hourly models to monthly energy forecasts. These models were originally developed for Budget 2021 forecasts and are re-evaluated each year to track with recent data.</w:t>
      </w:r>
      <w:r w:rsidR="00616255">
        <w:rPr>
          <w:b w:val="0"/>
        </w:rPr>
        <w:t xml:space="preserve"> </w:t>
      </w:r>
    </w:p>
    <w:p w14:paraId="5C5F9253" w14:textId="77777777" w:rsidR="00357C3D" w:rsidRPr="00357C3D" w:rsidRDefault="00357C3D" w:rsidP="00B762C6">
      <w:pPr>
        <w:pStyle w:val="BodyText"/>
        <w:spacing w:after="0" w:line="360" w:lineRule="auto"/>
        <w:jc w:val="both"/>
        <w:rPr>
          <w:b w:val="0"/>
        </w:rPr>
      </w:pPr>
    </w:p>
    <w:p w14:paraId="0C087188" w14:textId="7401317D" w:rsidR="00132BB2" w:rsidRPr="00132BB2" w:rsidRDefault="008412DA" w:rsidP="00B762C6">
      <w:pPr>
        <w:pStyle w:val="BodyText"/>
        <w:spacing w:after="0" w:line="360" w:lineRule="auto"/>
        <w:jc w:val="both"/>
        <w:rPr>
          <w:b w:val="0"/>
        </w:rPr>
      </w:pPr>
      <w:r>
        <w:rPr>
          <w:b w:val="0"/>
        </w:rPr>
        <w:t>MetrixND uses historical hourly load research data for each customer class to derive regression models that utilize the day’s weather, day of week, holiday flags, month of year, and other pertinent independent variables. To predict class demands, the following components are used: the relationships of load and weather developed in MetrixND from the historical load research data, the description of “typical” weather and the class monthly energy forecast. Both the coincident and non-coincident demands by class are produced with the model.</w:t>
      </w:r>
      <w:r w:rsidR="00616255">
        <w:rPr>
          <w:b w:val="0"/>
        </w:rPr>
        <w:t xml:space="preserve"> </w:t>
      </w:r>
    </w:p>
    <w:p w14:paraId="3AF82747" w14:textId="77777777" w:rsidR="00132BB2" w:rsidRPr="00132BB2" w:rsidRDefault="00132BB2" w:rsidP="00B762C6">
      <w:pPr>
        <w:pStyle w:val="BodyText"/>
        <w:spacing w:after="0" w:line="360" w:lineRule="auto"/>
        <w:jc w:val="both"/>
        <w:rPr>
          <w:b w:val="0"/>
        </w:rPr>
      </w:pPr>
    </w:p>
    <w:p w14:paraId="5D07A376" w14:textId="312015C6" w:rsidR="00132BB2" w:rsidRPr="00132BB2" w:rsidRDefault="008412DA" w:rsidP="00B762C6">
      <w:pPr>
        <w:pStyle w:val="BodyText"/>
        <w:spacing w:after="0" w:line="360" w:lineRule="auto"/>
        <w:jc w:val="both"/>
        <w:rPr>
          <w:b w:val="0"/>
        </w:rPr>
      </w:pPr>
      <w:r>
        <w:rPr>
          <w:b w:val="0"/>
        </w:rPr>
        <w:t>The Georgia Power hourly load forecasting models use load shapes</w:t>
      </w:r>
      <w:r w:rsidR="00AF509F">
        <w:rPr>
          <w:b w:val="0"/>
        </w:rPr>
        <w:t>,</w:t>
      </w:r>
      <w:r>
        <w:rPr>
          <w:b w:val="0"/>
        </w:rPr>
        <w:t xml:space="preserve"> primarily based on class</w:t>
      </w:r>
      <w:r w:rsidR="00AF509F">
        <w:rPr>
          <w:b w:val="0"/>
        </w:rPr>
        <w:t>,</w:t>
      </w:r>
      <w:r>
        <w:rPr>
          <w:b w:val="0"/>
        </w:rPr>
        <w:t xml:space="preserve"> to define its territory. Currently, there are the five primary classes: </w:t>
      </w:r>
      <w:r w:rsidR="005F4196">
        <w:rPr>
          <w:b w:val="0"/>
        </w:rPr>
        <w:t>r</w:t>
      </w:r>
      <w:r>
        <w:rPr>
          <w:b w:val="0"/>
        </w:rPr>
        <w:t xml:space="preserve">esidential, </w:t>
      </w:r>
      <w:r w:rsidR="005F4196">
        <w:rPr>
          <w:b w:val="0"/>
        </w:rPr>
        <w:t>c</w:t>
      </w:r>
      <w:r>
        <w:rPr>
          <w:b w:val="0"/>
        </w:rPr>
        <w:t xml:space="preserve">ommercial, </w:t>
      </w:r>
      <w:r w:rsidR="005F4196">
        <w:rPr>
          <w:b w:val="0"/>
        </w:rPr>
        <w:t>i</w:t>
      </w:r>
      <w:r>
        <w:rPr>
          <w:b w:val="0"/>
        </w:rPr>
        <w:t xml:space="preserve">ndustrial, </w:t>
      </w:r>
      <w:r w:rsidR="005F4196">
        <w:rPr>
          <w:b w:val="0"/>
        </w:rPr>
        <w:t>g</w:t>
      </w:r>
      <w:r>
        <w:rPr>
          <w:b w:val="0"/>
        </w:rPr>
        <w:t>overnment</w:t>
      </w:r>
      <w:r w:rsidR="005F4196">
        <w:rPr>
          <w:b w:val="0"/>
        </w:rPr>
        <w:t>al</w:t>
      </w:r>
      <w:r>
        <w:rPr>
          <w:b w:val="0"/>
        </w:rPr>
        <w:t xml:space="preserve"> </w:t>
      </w:r>
      <w:r w:rsidR="005F4196">
        <w:rPr>
          <w:b w:val="0"/>
        </w:rPr>
        <w:t xml:space="preserve">lighting </w:t>
      </w:r>
      <w:r>
        <w:rPr>
          <w:b w:val="0"/>
        </w:rPr>
        <w:t xml:space="preserve">and MARTA; plus two additional categories: </w:t>
      </w:r>
      <w:r w:rsidR="005F4196">
        <w:rPr>
          <w:b w:val="0"/>
        </w:rPr>
        <w:t>e</w:t>
      </w:r>
      <w:r>
        <w:rPr>
          <w:b w:val="0"/>
        </w:rPr>
        <w:t xml:space="preserve">lectric </w:t>
      </w:r>
      <w:r w:rsidR="005F4196">
        <w:rPr>
          <w:b w:val="0"/>
        </w:rPr>
        <w:t>v</w:t>
      </w:r>
      <w:r>
        <w:rPr>
          <w:b w:val="0"/>
        </w:rPr>
        <w:t xml:space="preserve">ehicles and </w:t>
      </w:r>
      <w:r w:rsidR="005F4196">
        <w:rPr>
          <w:b w:val="0"/>
        </w:rPr>
        <w:t>b</w:t>
      </w:r>
      <w:r>
        <w:rPr>
          <w:b w:val="0"/>
        </w:rPr>
        <w:t>ehind</w:t>
      </w:r>
      <w:r w:rsidR="00196036">
        <w:rPr>
          <w:b w:val="0"/>
        </w:rPr>
        <w:t>-</w:t>
      </w:r>
      <w:r>
        <w:rPr>
          <w:b w:val="0"/>
        </w:rPr>
        <w:t>the</w:t>
      </w:r>
      <w:r w:rsidR="00196036">
        <w:rPr>
          <w:b w:val="0"/>
        </w:rPr>
        <w:t>-</w:t>
      </w:r>
      <w:r w:rsidR="005F4196">
        <w:rPr>
          <w:b w:val="0"/>
        </w:rPr>
        <w:t>m</w:t>
      </w:r>
      <w:r>
        <w:rPr>
          <w:b w:val="0"/>
        </w:rPr>
        <w:t xml:space="preserve">eter </w:t>
      </w:r>
      <w:r w:rsidR="005F4196">
        <w:rPr>
          <w:b w:val="0"/>
        </w:rPr>
        <w:t>s</w:t>
      </w:r>
      <w:r>
        <w:rPr>
          <w:b w:val="0"/>
        </w:rPr>
        <w:t xml:space="preserve">olar. Most of the class input historical load shapes use load research historical data from </w:t>
      </w:r>
      <w:r w:rsidR="001763A4">
        <w:rPr>
          <w:b w:val="0"/>
        </w:rPr>
        <w:t>2020</w:t>
      </w:r>
      <w:r>
        <w:rPr>
          <w:b w:val="0"/>
        </w:rPr>
        <w:t xml:space="preserve">, </w:t>
      </w:r>
      <w:r w:rsidR="001763A4">
        <w:rPr>
          <w:b w:val="0"/>
        </w:rPr>
        <w:t>2021</w:t>
      </w:r>
      <w:r>
        <w:rPr>
          <w:b w:val="0"/>
        </w:rPr>
        <w:t xml:space="preserve">, </w:t>
      </w:r>
      <w:r w:rsidR="001763A4">
        <w:rPr>
          <w:b w:val="0"/>
        </w:rPr>
        <w:t>2022</w:t>
      </w:r>
      <w:r>
        <w:rPr>
          <w:b w:val="0"/>
        </w:rPr>
        <w:t xml:space="preserve">, and </w:t>
      </w:r>
      <w:r w:rsidR="001763A4">
        <w:rPr>
          <w:b w:val="0"/>
        </w:rPr>
        <w:t>2023</w:t>
      </w:r>
      <w:r>
        <w:rPr>
          <w:b w:val="0"/>
        </w:rPr>
        <w:t xml:space="preserve">. The </w:t>
      </w:r>
      <w:r w:rsidR="005F4196">
        <w:rPr>
          <w:b w:val="0"/>
        </w:rPr>
        <w:t xml:space="preserve">electric vehicle </w:t>
      </w:r>
      <w:r>
        <w:rPr>
          <w:b w:val="0"/>
        </w:rPr>
        <w:t xml:space="preserve">and </w:t>
      </w:r>
      <w:r w:rsidR="005F4196">
        <w:rPr>
          <w:b w:val="0"/>
        </w:rPr>
        <w:t>behind</w:t>
      </w:r>
      <w:r w:rsidR="000C3BBC">
        <w:rPr>
          <w:b w:val="0"/>
        </w:rPr>
        <w:t>-</w:t>
      </w:r>
      <w:r>
        <w:rPr>
          <w:b w:val="0"/>
        </w:rPr>
        <w:t>the</w:t>
      </w:r>
      <w:r w:rsidR="000C3BBC">
        <w:rPr>
          <w:b w:val="0"/>
        </w:rPr>
        <w:t>-</w:t>
      </w:r>
      <w:r w:rsidR="005F4196">
        <w:rPr>
          <w:b w:val="0"/>
        </w:rPr>
        <w:t xml:space="preserve">meter solar categories </w:t>
      </w:r>
      <w:r>
        <w:rPr>
          <w:b w:val="0"/>
        </w:rPr>
        <w:t xml:space="preserve">require several specific load shapes to properly capture their expected behavior. In Budget </w:t>
      </w:r>
      <w:r w:rsidR="002C45F7">
        <w:rPr>
          <w:b w:val="0"/>
        </w:rPr>
        <w:t>2025</w:t>
      </w:r>
      <w:r>
        <w:rPr>
          <w:b w:val="0"/>
        </w:rPr>
        <w:t xml:space="preserve">, </w:t>
      </w:r>
      <w:r w:rsidR="0002625D">
        <w:rPr>
          <w:b w:val="0"/>
        </w:rPr>
        <w:t xml:space="preserve">five </w:t>
      </w:r>
      <w:r>
        <w:rPr>
          <w:b w:val="0"/>
        </w:rPr>
        <w:t xml:space="preserve">load shapes were used for </w:t>
      </w:r>
      <w:r w:rsidR="000D3FEB">
        <w:rPr>
          <w:b w:val="0"/>
        </w:rPr>
        <w:t>e</w:t>
      </w:r>
      <w:r>
        <w:rPr>
          <w:b w:val="0"/>
        </w:rPr>
        <w:t xml:space="preserve">lectric </w:t>
      </w:r>
      <w:r w:rsidR="000D3FEB">
        <w:rPr>
          <w:b w:val="0"/>
        </w:rPr>
        <w:t>v</w:t>
      </w:r>
      <w:r>
        <w:rPr>
          <w:b w:val="0"/>
        </w:rPr>
        <w:t>ehicles</w:t>
      </w:r>
      <w:r w:rsidR="00D90918">
        <w:rPr>
          <w:b w:val="0"/>
        </w:rPr>
        <w:t xml:space="preserve">, including medium- and heavy-duty </w:t>
      </w:r>
      <w:r w:rsidR="00BA748E">
        <w:rPr>
          <w:b w:val="0"/>
        </w:rPr>
        <w:t>vehicles</w:t>
      </w:r>
      <w:r>
        <w:rPr>
          <w:b w:val="0"/>
        </w:rPr>
        <w:t xml:space="preserve">, and three were used for </w:t>
      </w:r>
      <w:r w:rsidR="00CD6AC2">
        <w:rPr>
          <w:b w:val="0"/>
        </w:rPr>
        <w:t>behind</w:t>
      </w:r>
      <w:r w:rsidR="00930443">
        <w:rPr>
          <w:b w:val="0"/>
        </w:rPr>
        <w:t>-</w:t>
      </w:r>
      <w:r w:rsidR="000D3FEB">
        <w:rPr>
          <w:b w:val="0"/>
        </w:rPr>
        <w:t>the</w:t>
      </w:r>
      <w:r w:rsidR="00930443">
        <w:rPr>
          <w:b w:val="0"/>
        </w:rPr>
        <w:t>-</w:t>
      </w:r>
      <w:r w:rsidR="000D3FEB">
        <w:rPr>
          <w:b w:val="0"/>
        </w:rPr>
        <w:t>meter s</w:t>
      </w:r>
      <w:r>
        <w:rPr>
          <w:b w:val="0"/>
        </w:rPr>
        <w:t>olar.</w:t>
      </w:r>
      <w:r w:rsidR="00132BB2" w:rsidRPr="00132BB2">
        <w:rPr>
          <w:b w:val="0"/>
        </w:rPr>
        <w:t xml:space="preserve"> </w:t>
      </w:r>
    </w:p>
    <w:p w14:paraId="0916C973" w14:textId="77777777" w:rsidR="00132BB2" w:rsidRPr="00132BB2" w:rsidRDefault="00132BB2" w:rsidP="00B762C6">
      <w:pPr>
        <w:pStyle w:val="BodyText"/>
        <w:spacing w:after="0" w:line="360" w:lineRule="auto"/>
        <w:jc w:val="both"/>
        <w:rPr>
          <w:b w:val="0"/>
        </w:rPr>
      </w:pPr>
    </w:p>
    <w:p w14:paraId="4A3B039D" w14:textId="32EA2952" w:rsidR="00132BB2" w:rsidRPr="00132BB2" w:rsidRDefault="008412DA" w:rsidP="00B762C6">
      <w:pPr>
        <w:pStyle w:val="BodyText"/>
        <w:spacing w:after="0" w:line="360" w:lineRule="auto"/>
        <w:jc w:val="both"/>
        <w:rPr>
          <w:b w:val="0"/>
        </w:rPr>
      </w:pPr>
      <w:r>
        <w:rPr>
          <w:b w:val="0"/>
        </w:rPr>
        <w:t xml:space="preserve">The methodology determining “typical” weather uses </w:t>
      </w:r>
      <w:r w:rsidR="00242814">
        <w:rPr>
          <w:b w:val="0"/>
        </w:rPr>
        <w:t xml:space="preserve">44 </w:t>
      </w:r>
      <w:r>
        <w:rPr>
          <w:b w:val="0"/>
        </w:rPr>
        <w:t xml:space="preserve">years of average daily temperatures </w:t>
      </w:r>
      <w:r w:rsidR="00930443">
        <w:rPr>
          <w:b w:val="0"/>
        </w:rPr>
        <w:t>(1980-2023),</w:t>
      </w:r>
      <w:r>
        <w:rPr>
          <w:b w:val="0"/>
        </w:rPr>
        <w:t xml:space="preserve"> which were rank ordered and then averaged to form a “temperature duration curve</w:t>
      </w:r>
      <w:r w:rsidR="00930443">
        <w:rPr>
          <w:b w:val="0"/>
        </w:rPr>
        <w:t>.</w:t>
      </w:r>
      <w:r>
        <w:rPr>
          <w:b w:val="0"/>
        </w:rPr>
        <w:t>” The most representative pattern of actual temperatures was chosen using a least sum of squares criteria. The temperature duration curve was then re-sorted to the chronological order of the representative pattern.</w:t>
      </w:r>
      <w:r w:rsidR="00616255">
        <w:rPr>
          <w:b w:val="0"/>
        </w:rPr>
        <w:t xml:space="preserve"> </w:t>
      </w:r>
    </w:p>
    <w:p w14:paraId="550678C6" w14:textId="77777777" w:rsidR="00132BB2" w:rsidRPr="00132BB2" w:rsidRDefault="00132BB2" w:rsidP="00B762C6">
      <w:pPr>
        <w:pStyle w:val="BodyText"/>
        <w:spacing w:after="0" w:line="360" w:lineRule="auto"/>
        <w:jc w:val="both"/>
        <w:rPr>
          <w:b w:val="0"/>
        </w:rPr>
      </w:pPr>
    </w:p>
    <w:p w14:paraId="74541C7E" w14:textId="5B0F306A" w:rsidR="00132BB2" w:rsidRPr="00132BB2" w:rsidRDefault="008412DA" w:rsidP="00B762C6">
      <w:pPr>
        <w:pStyle w:val="BodyText"/>
        <w:spacing w:after="0" w:line="360" w:lineRule="auto"/>
        <w:jc w:val="both"/>
        <w:rPr>
          <w:b w:val="0"/>
        </w:rPr>
      </w:pPr>
      <w:r>
        <w:rPr>
          <w:b w:val="0"/>
        </w:rPr>
        <w:t xml:space="preserve">The final component in the development of the demand forecast is the input of the monthly calendar-based energies. The forecasted energies are based on a </w:t>
      </w:r>
      <w:r w:rsidR="00241D33">
        <w:rPr>
          <w:b w:val="0"/>
        </w:rPr>
        <w:t>44</w:t>
      </w:r>
      <w:r>
        <w:rPr>
          <w:b w:val="0"/>
        </w:rPr>
        <w:t>-year average weather assumption. Using the forecasted energies directly in the peak demand model maintains consistency between projected energy sales and the forecast demands.</w:t>
      </w:r>
    </w:p>
    <w:p w14:paraId="59D6026F" w14:textId="77777777" w:rsidR="00132BB2" w:rsidRPr="00132BB2" w:rsidRDefault="00132BB2" w:rsidP="00B762C6">
      <w:pPr>
        <w:pStyle w:val="BodyText"/>
        <w:spacing w:after="0" w:line="360" w:lineRule="auto"/>
        <w:jc w:val="both"/>
        <w:rPr>
          <w:b w:val="0"/>
        </w:rPr>
      </w:pPr>
    </w:p>
    <w:p w14:paraId="0228557D" w14:textId="39714C3C" w:rsidR="00132BB2" w:rsidRPr="00132BB2" w:rsidRDefault="008412DA" w:rsidP="004C38C2">
      <w:pPr>
        <w:pStyle w:val="BodyText"/>
        <w:spacing w:after="0" w:line="360" w:lineRule="auto"/>
        <w:jc w:val="both"/>
        <w:rPr>
          <w:b w:val="0"/>
        </w:rPr>
      </w:pPr>
      <w:r>
        <w:rPr>
          <w:b w:val="0"/>
        </w:rPr>
        <w:t xml:space="preserve">The hourly load forecasting models also expand the monthly sales data to supply level (sales plus losses) for generation required for the projected energy and demands. The models use expansion factors, </w:t>
      </w:r>
      <w:r w:rsidR="00474E8A">
        <w:rPr>
          <w:b w:val="0"/>
        </w:rPr>
        <w:t xml:space="preserve">found </w:t>
      </w:r>
      <w:r>
        <w:rPr>
          <w:b w:val="0"/>
        </w:rPr>
        <w:t>in Attachment 6.0-</w:t>
      </w:r>
      <w:r w:rsidR="00DE72C3">
        <w:rPr>
          <w:b w:val="0"/>
        </w:rPr>
        <w:t>7</w:t>
      </w:r>
      <w:r>
        <w:rPr>
          <w:b w:val="0"/>
        </w:rPr>
        <w:t xml:space="preserve">, to go from sales to the customer to supply level energy and demands. The expansion </w:t>
      </w:r>
      <w:r>
        <w:rPr>
          <w:b w:val="0"/>
        </w:rPr>
        <w:lastRenderedPageBreak/>
        <w:t xml:space="preserve">factors used in Budget </w:t>
      </w:r>
      <w:r w:rsidR="00474E8A">
        <w:rPr>
          <w:b w:val="0"/>
        </w:rPr>
        <w:t xml:space="preserve">2025 </w:t>
      </w:r>
      <w:r>
        <w:rPr>
          <w:b w:val="0"/>
        </w:rPr>
        <w:t xml:space="preserve">were derived using the results from the Georgia Power 2021 </w:t>
      </w:r>
      <w:r w:rsidR="00DC1318">
        <w:rPr>
          <w:b w:val="0"/>
        </w:rPr>
        <w:t>L</w:t>
      </w:r>
      <w:r>
        <w:rPr>
          <w:b w:val="0"/>
        </w:rPr>
        <w:t xml:space="preserve">oss </w:t>
      </w:r>
      <w:r w:rsidR="00DC1318">
        <w:rPr>
          <w:b w:val="0"/>
        </w:rPr>
        <w:t xml:space="preserve">Study </w:t>
      </w:r>
      <w:r>
        <w:rPr>
          <w:b w:val="0"/>
        </w:rPr>
        <w:t>with updated 2019 peak and energy load data.</w:t>
      </w:r>
      <w:r w:rsidR="00616255">
        <w:rPr>
          <w:b w:val="0"/>
        </w:rPr>
        <w:t xml:space="preserve"> </w:t>
      </w:r>
    </w:p>
    <w:p w14:paraId="606444DF" w14:textId="77777777" w:rsidR="00132BB2" w:rsidRPr="00132BB2" w:rsidRDefault="00132BB2" w:rsidP="004C38C2">
      <w:pPr>
        <w:pStyle w:val="BodyText"/>
        <w:spacing w:after="0" w:line="360" w:lineRule="auto"/>
        <w:jc w:val="both"/>
        <w:rPr>
          <w:b w:val="0"/>
        </w:rPr>
      </w:pPr>
    </w:p>
    <w:p w14:paraId="7285940E" w14:textId="07D56414" w:rsidR="008412DA" w:rsidRDefault="008412DA" w:rsidP="00B762C6">
      <w:pPr>
        <w:pStyle w:val="BodyText"/>
        <w:spacing w:after="0" w:line="360" w:lineRule="auto"/>
        <w:jc w:val="both"/>
        <w:rPr>
          <w:b w:val="0"/>
        </w:rPr>
      </w:pPr>
      <w:r>
        <w:rPr>
          <w:b w:val="0"/>
        </w:rPr>
        <w:t xml:space="preserve">The results from the peak model are unadjusted for additional cogeneration projects and additional DSM programs that were previously approved by the Commission. Estimates for cogeneration and DSM are made for the reduction in demand and incorporated externally into the peak demand forecast. </w:t>
      </w:r>
    </w:p>
    <w:p w14:paraId="5AD9DD39" w14:textId="77777777" w:rsidR="008412DA" w:rsidRDefault="008412DA" w:rsidP="00B762C6">
      <w:pPr>
        <w:pStyle w:val="BodyText"/>
        <w:spacing w:after="0" w:line="360" w:lineRule="auto"/>
        <w:jc w:val="both"/>
        <w:rPr>
          <w:b w:val="0"/>
        </w:rPr>
      </w:pPr>
    </w:p>
    <w:p w14:paraId="31458D87" w14:textId="38AA245B" w:rsidR="00132BB2" w:rsidRDefault="008412DA" w:rsidP="00132BB2">
      <w:pPr>
        <w:pStyle w:val="BodyText"/>
        <w:spacing w:line="360" w:lineRule="auto"/>
        <w:jc w:val="both"/>
        <w:rPr>
          <w:b w:val="0"/>
        </w:rPr>
      </w:pPr>
      <w:r w:rsidRPr="00132BB2">
        <w:rPr>
          <w:b w:val="0"/>
        </w:rPr>
        <w:t xml:space="preserve">See </w:t>
      </w:r>
      <w:r w:rsidR="00134EA6">
        <w:rPr>
          <w:b w:val="0"/>
        </w:rPr>
        <w:t>S</w:t>
      </w:r>
      <w:r w:rsidR="00134EA6" w:rsidRPr="00132BB2">
        <w:rPr>
          <w:b w:val="0"/>
        </w:rPr>
        <w:t xml:space="preserve">ection </w:t>
      </w:r>
      <w:r w:rsidR="00F55BD7">
        <w:rPr>
          <w:b w:val="0"/>
        </w:rPr>
        <w:t>9</w:t>
      </w:r>
      <w:r w:rsidRPr="00132BB2">
        <w:rPr>
          <w:b w:val="0"/>
        </w:rPr>
        <w:t>.4 for more information on adjustments made to the peak demand</w:t>
      </w:r>
      <w:r w:rsidR="004B57BF">
        <w:rPr>
          <w:b w:val="0"/>
        </w:rPr>
        <w:t xml:space="preserve"> and energy</w:t>
      </w:r>
      <w:r w:rsidRPr="00132BB2">
        <w:rPr>
          <w:b w:val="0"/>
        </w:rPr>
        <w:t xml:space="preserve"> forecast</w:t>
      </w:r>
      <w:r w:rsidR="004B57BF">
        <w:rPr>
          <w:b w:val="0"/>
        </w:rPr>
        <w:t>s</w:t>
      </w:r>
      <w:r w:rsidRPr="00132BB2">
        <w:rPr>
          <w:b w:val="0"/>
        </w:rPr>
        <w:t>.</w:t>
      </w:r>
    </w:p>
    <w:p w14:paraId="6A511DA8" w14:textId="77777777" w:rsidR="002C2D50" w:rsidRDefault="00D33992">
      <w:pPr>
        <w:spacing w:after="200" w:line="276" w:lineRule="auto"/>
        <w:jc w:val="left"/>
        <w:rPr>
          <w:b w:val="0"/>
        </w:rPr>
        <w:sectPr w:rsidR="002C2D50" w:rsidSect="00932ECD">
          <w:footerReference w:type="default" r:id="rId87"/>
          <w:pgSz w:w="12240" w:h="15840"/>
          <w:pgMar w:top="1440" w:right="1440" w:bottom="1440" w:left="1440" w:header="720" w:footer="720" w:gutter="0"/>
          <w:cols w:space="720"/>
          <w:docGrid w:linePitch="360"/>
        </w:sectPr>
      </w:pPr>
      <w:r>
        <w:rPr>
          <w:b w:val="0"/>
        </w:rPr>
        <w:br w:type="page"/>
      </w:r>
    </w:p>
    <w:p w14:paraId="7FDF316C" w14:textId="089FC7A9" w:rsidR="00357C3D" w:rsidRDefault="00357C3D" w:rsidP="0025745A">
      <w:pPr>
        <w:pStyle w:val="BodyTextIndent"/>
        <w:spacing w:line="360" w:lineRule="auto"/>
        <w:ind w:left="0"/>
        <w:jc w:val="left"/>
        <w:rPr>
          <w:b/>
        </w:rPr>
      </w:pPr>
      <w:r w:rsidRPr="0025745A">
        <w:rPr>
          <w:b/>
        </w:rPr>
        <w:lastRenderedPageBreak/>
        <w:t xml:space="preserve">Attachment 6.0-1: </w:t>
      </w:r>
      <w:r w:rsidR="00810D89">
        <w:rPr>
          <w:b/>
        </w:rPr>
        <w:t>Summer</w:t>
      </w:r>
      <w:r w:rsidRPr="0025745A">
        <w:rPr>
          <w:b/>
        </w:rPr>
        <w:t xml:space="preserve"> Coincident Demand with Adjustments (MW)</w:t>
      </w:r>
    </w:p>
    <w:p w14:paraId="3077E6DC" w14:textId="77777777" w:rsidR="00357C3D" w:rsidRDefault="00CC2EE8" w:rsidP="00CC2EE8">
      <w:r>
        <w:t>Calendar Based</w:t>
      </w:r>
    </w:p>
    <w:p w14:paraId="02E04BAF" w14:textId="2395CACF" w:rsidR="00CC2EE8" w:rsidRDefault="00CC2EE8" w:rsidP="00CC2EE8">
      <w:r>
        <w:t xml:space="preserve">Budget </w:t>
      </w:r>
      <w:r w:rsidR="007D2C3B">
        <w:t>2025</w:t>
      </w:r>
    </w:p>
    <w:p w14:paraId="2229B43F" w14:textId="77777777" w:rsidR="00AB75B0" w:rsidRDefault="00AB75B0" w:rsidP="00CC2EE8"/>
    <w:p w14:paraId="598D3BCD" w14:textId="6BD20746" w:rsidR="00201A92" w:rsidRDefault="005D09D5" w:rsidP="00CC2EE8">
      <w:r w:rsidRPr="005D09D5">
        <w:rPr>
          <w:noProof/>
        </w:rPr>
        <w:drawing>
          <wp:inline distT="0" distB="0" distL="0" distR="0" wp14:anchorId="39A385DB" wp14:editId="7D73420C">
            <wp:extent cx="7887970" cy="4626610"/>
            <wp:effectExtent l="0" t="0" r="0" b="2540"/>
            <wp:docPr id="134882858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887970" cy="4626610"/>
                    </a:xfrm>
                    <a:prstGeom prst="rect">
                      <a:avLst/>
                    </a:prstGeom>
                    <a:noFill/>
                    <a:ln>
                      <a:noFill/>
                    </a:ln>
                  </pic:spPr>
                </pic:pic>
              </a:graphicData>
            </a:graphic>
          </wp:inline>
        </w:drawing>
      </w:r>
    </w:p>
    <w:p w14:paraId="0E184C88" w14:textId="77777777" w:rsidR="00013BC3" w:rsidRDefault="00013BC3" w:rsidP="008F6D40">
      <w:pPr>
        <w:spacing w:after="200" w:line="276" w:lineRule="auto"/>
        <w:jc w:val="left"/>
      </w:pPr>
    </w:p>
    <w:p w14:paraId="4144714C" w14:textId="14E01835" w:rsidR="00131FFF" w:rsidRDefault="009139DE" w:rsidP="00CC6C48">
      <w:pPr>
        <w:spacing w:after="200" w:line="276" w:lineRule="auto"/>
        <w:jc w:val="both"/>
      </w:pPr>
      <w:r>
        <w:t xml:space="preserve">* </w:t>
      </w:r>
      <w:r w:rsidR="00260563" w:rsidRPr="007413D2">
        <w:rPr>
          <w:b w:val="0"/>
          <w:bCs/>
        </w:rPr>
        <w:t xml:space="preserve">Georgia Power </w:t>
      </w:r>
      <w:r w:rsidR="00507D81" w:rsidRPr="007413D2">
        <w:rPr>
          <w:b w:val="0"/>
          <w:bCs/>
        </w:rPr>
        <w:t>i</w:t>
      </w:r>
      <w:r w:rsidR="00260563" w:rsidRPr="007413D2">
        <w:rPr>
          <w:b w:val="0"/>
          <w:bCs/>
        </w:rPr>
        <w:t xml:space="preserve">s </w:t>
      </w:r>
      <w:r w:rsidR="007413D2">
        <w:rPr>
          <w:b w:val="0"/>
          <w:bCs/>
        </w:rPr>
        <w:t xml:space="preserve">expected to be </w:t>
      </w:r>
      <w:r w:rsidR="00260563" w:rsidRPr="007413D2">
        <w:rPr>
          <w:b w:val="0"/>
          <w:bCs/>
        </w:rPr>
        <w:t>a summer peaking utility over the entire forecast horizon.</w:t>
      </w:r>
    </w:p>
    <w:p w14:paraId="5B94AEA3" w14:textId="6988D446" w:rsidR="00810D89" w:rsidRDefault="00810D89" w:rsidP="008F6D40">
      <w:pPr>
        <w:spacing w:after="200" w:line="276" w:lineRule="auto"/>
        <w:jc w:val="left"/>
      </w:pPr>
      <w:r w:rsidRPr="0025745A">
        <w:lastRenderedPageBreak/>
        <w:t>Attachment 6.0-</w:t>
      </w:r>
      <w:r>
        <w:t>2</w:t>
      </w:r>
      <w:r w:rsidRPr="0025745A">
        <w:t xml:space="preserve">: </w:t>
      </w:r>
      <w:r>
        <w:t>Winter</w:t>
      </w:r>
      <w:r w:rsidRPr="0025745A">
        <w:t xml:space="preserve"> Coincident Demand with Adjustments (MW)</w:t>
      </w:r>
    </w:p>
    <w:p w14:paraId="245F4A04" w14:textId="77777777" w:rsidR="00810D89" w:rsidRDefault="00810D89" w:rsidP="00810D89">
      <w:r>
        <w:t>Calendar Based</w:t>
      </w:r>
    </w:p>
    <w:p w14:paraId="326AD758" w14:textId="74BB4FEB" w:rsidR="00810D89" w:rsidRPr="00810D89" w:rsidRDefault="00810D89" w:rsidP="00810D89">
      <w:pPr>
        <w:pStyle w:val="BodyTextIndent"/>
        <w:spacing w:line="360" w:lineRule="auto"/>
        <w:ind w:left="0"/>
        <w:rPr>
          <w:b/>
          <w:bCs/>
        </w:rPr>
      </w:pPr>
      <w:r w:rsidRPr="00810D89">
        <w:rPr>
          <w:b/>
          <w:bCs/>
        </w:rPr>
        <w:t xml:space="preserve">Budget </w:t>
      </w:r>
      <w:r w:rsidR="007C66C4" w:rsidRPr="00810D89">
        <w:rPr>
          <w:b/>
          <w:bCs/>
        </w:rPr>
        <w:t>20</w:t>
      </w:r>
      <w:r w:rsidR="007C66C4">
        <w:rPr>
          <w:b/>
          <w:bCs/>
        </w:rPr>
        <w:t>25</w:t>
      </w:r>
    </w:p>
    <w:p w14:paraId="3B4AB7AF" w14:textId="6DE26B89" w:rsidR="00160CD4" w:rsidRDefault="00255E25" w:rsidP="00810D89">
      <w:pPr>
        <w:pStyle w:val="BodyTextIndent"/>
        <w:spacing w:line="360" w:lineRule="auto"/>
        <w:ind w:left="0"/>
      </w:pPr>
      <w:r w:rsidRPr="00255E25">
        <w:rPr>
          <w:noProof/>
        </w:rPr>
        <w:drawing>
          <wp:inline distT="0" distB="0" distL="0" distR="0" wp14:anchorId="01FD2EEF" wp14:editId="385DC691">
            <wp:extent cx="6648450" cy="4724400"/>
            <wp:effectExtent l="0" t="0" r="0" b="0"/>
            <wp:docPr id="5962470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648450" cy="4724400"/>
                    </a:xfrm>
                    <a:prstGeom prst="rect">
                      <a:avLst/>
                    </a:prstGeom>
                    <a:noFill/>
                    <a:ln>
                      <a:noFill/>
                    </a:ln>
                  </pic:spPr>
                </pic:pic>
              </a:graphicData>
            </a:graphic>
          </wp:inline>
        </w:drawing>
      </w:r>
    </w:p>
    <w:p w14:paraId="31447B95" w14:textId="77777777" w:rsidR="00160CD4" w:rsidRDefault="00160CD4">
      <w:pPr>
        <w:spacing w:after="200" w:line="276" w:lineRule="auto"/>
        <w:jc w:val="left"/>
      </w:pPr>
      <w:r>
        <w:rPr>
          <w:b w:val="0"/>
        </w:rPr>
        <w:br w:type="page"/>
      </w:r>
    </w:p>
    <w:p w14:paraId="5A54C20A" w14:textId="7C7F0DE1" w:rsidR="00357C3D" w:rsidRDefault="00357C3D" w:rsidP="00357C3D">
      <w:pPr>
        <w:pStyle w:val="BodyTextIndent"/>
        <w:spacing w:line="360" w:lineRule="auto"/>
        <w:ind w:left="0"/>
        <w:jc w:val="left"/>
      </w:pPr>
      <w:r w:rsidRPr="00357C3D">
        <w:rPr>
          <w:b/>
        </w:rPr>
        <w:lastRenderedPageBreak/>
        <w:t>Attachment 6.0-</w:t>
      </w:r>
      <w:r w:rsidR="00810D89">
        <w:rPr>
          <w:b/>
        </w:rPr>
        <w:t>3</w:t>
      </w:r>
      <w:r w:rsidRPr="00357C3D">
        <w:rPr>
          <w:b/>
        </w:rPr>
        <w:t xml:space="preserve">: </w:t>
      </w:r>
      <w:r w:rsidR="00810D89">
        <w:rPr>
          <w:b/>
        </w:rPr>
        <w:t xml:space="preserve">Summer </w:t>
      </w:r>
      <w:r>
        <w:rPr>
          <w:b/>
        </w:rPr>
        <w:t>Unadjusted Non-</w:t>
      </w:r>
      <w:r w:rsidRPr="00357C3D">
        <w:rPr>
          <w:b/>
        </w:rPr>
        <w:t>Coincident Demand (MW)</w:t>
      </w:r>
    </w:p>
    <w:p w14:paraId="00A4D739" w14:textId="77777777" w:rsidR="00CC2EE8" w:rsidRDefault="00CC2EE8" w:rsidP="00CC2EE8">
      <w:r>
        <w:t>Calendar Based</w:t>
      </w:r>
    </w:p>
    <w:p w14:paraId="4EE15429" w14:textId="427A25B3" w:rsidR="00CC2EE8" w:rsidRDefault="00CC2EE8" w:rsidP="00CC2EE8">
      <w:r>
        <w:t xml:space="preserve">Budget </w:t>
      </w:r>
      <w:r w:rsidR="00221B54">
        <w:t>2025</w:t>
      </w:r>
    </w:p>
    <w:p w14:paraId="32BFBB45" w14:textId="77777777" w:rsidR="002573F6" w:rsidRDefault="002573F6" w:rsidP="00CC2EE8"/>
    <w:p w14:paraId="4E5D7348" w14:textId="4D24610B" w:rsidR="00221B54" w:rsidRDefault="00FE4045" w:rsidP="00CC2EE8">
      <w:pPr>
        <w:rPr>
          <w:noProof/>
        </w:rPr>
      </w:pPr>
      <w:r w:rsidRPr="00FE4045">
        <w:rPr>
          <w:noProof/>
        </w:rPr>
        <w:drawing>
          <wp:inline distT="0" distB="0" distL="0" distR="0" wp14:anchorId="464C1132" wp14:editId="6C4922A5">
            <wp:extent cx="4602480" cy="4443730"/>
            <wp:effectExtent l="0" t="0" r="7620" b="0"/>
            <wp:docPr id="54262246"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602480" cy="4443730"/>
                    </a:xfrm>
                    <a:prstGeom prst="rect">
                      <a:avLst/>
                    </a:prstGeom>
                    <a:noFill/>
                    <a:ln>
                      <a:noFill/>
                    </a:ln>
                  </pic:spPr>
                </pic:pic>
              </a:graphicData>
            </a:graphic>
          </wp:inline>
        </w:drawing>
      </w:r>
    </w:p>
    <w:p w14:paraId="35669A6A" w14:textId="32271E17" w:rsidR="00CC2EE8" w:rsidRDefault="00CC2EE8" w:rsidP="00CC2EE8"/>
    <w:p w14:paraId="3C3E9A91" w14:textId="4F298F62" w:rsidR="00CC2EE8" w:rsidRDefault="00CC2EE8" w:rsidP="00CC2EE8">
      <w:pPr>
        <w:pStyle w:val="BodyTextIndent"/>
        <w:spacing w:line="360" w:lineRule="auto"/>
        <w:ind w:left="0"/>
      </w:pPr>
    </w:p>
    <w:p w14:paraId="48BC8025" w14:textId="6E72C2C9" w:rsidR="002A610A" w:rsidRDefault="002A610A">
      <w:pPr>
        <w:spacing w:after="200" w:line="276" w:lineRule="auto"/>
        <w:jc w:val="left"/>
        <w:rPr>
          <w:b w:val="0"/>
        </w:rPr>
      </w:pPr>
      <w:r>
        <w:br w:type="page"/>
      </w:r>
    </w:p>
    <w:p w14:paraId="234D2D4B" w14:textId="22CB5F5E" w:rsidR="00E20FB4" w:rsidRPr="00932ECD" w:rsidRDefault="00E20FB4" w:rsidP="00E20FB4">
      <w:pPr>
        <w:pStyle w:val="BodyTextIndent"/>
        <w:spacing w:line="360" w:lineRule="auto"/>
        <w:ind w:left="0"/>
        <w:jc w:val="left"/>
        <w:rPr>
          <w:color w:val="FF0000"/>
        </w:rPr>
      </w:pPr>
      <w:r w:rsidRPr="00357C3D">
        <w:rPr>
          <w:b/>
        </w:rPr>
        <w:lastRenderedPageBreak/>
        <w:t>Attachment 6.0-</w:t>
      </w:r>
      <w:r>
        <w:rPr>
          <w:b/>
        </w:rPr>
        <w:t>4</w:t>
      </w:r>
      <w:r w:rsidRPr="00357C3D">
        <w:rPr>
          <w:b/>
        </w:rPr>
        <w:t xml:space="preserve">: </w:t>
      </w:r>
      <w:r>
        <w:rPr>
          <w:b/>
        </w:rPr>
        <w:t>Winter Unadjusted Non-</w:t>
      </w:r>
      <w:r w:rsidRPr="00357C3D">
        <w:rPr>
          <w:b/>
        </w:rPr>
        <w:t>Coincident Demand (MW)</w:t>
      </w:r>
    </w:p>
    <w:p w14:paraId="62CF6DE9" w14:textId="77777777" w:rsidR="00E20FB4" w:rsidRDefault="00E20FB4" w:rsidP="00E20FB4">
      <w:r>
        <w:t>Calendar Based</w:t>
      </w:r>
    </w:p>
    <w:p w14:paraId="4AB8716A" w14:textId="57690542" w:rsidR="00E20FB4" w:rsidRDefault="00E20FB4" w:rsidP="00E20FB4">
      <w:r>
        <w:t xml:space="preserve">Budget </w:t>
      </w:r>
      <w:r w:rsidR="002B6D25">
        <w:t>2025</w:t>
      </w:r>
    </w:p>
    <w:p w14:paraId="4C5C34E2" w14:textId="541A23A1" w:rsidR="00E20FB4" w:rsidRDefault="00E20FB4" w:rsidP="00E20FB4"/>
    <w:p w14:paraId="09D5AAAA" w14:textId="0E6D4FA9" w:rsidR="00E20FB4" w:rsidRDefault="005A733F" w:rsidP="00E20FB4">
      <w:r w:rsidRPr="005A733F">
        <w:rPr>
          <w:noProof/>
        </w:rPr>
        <w:drawing>
          <wp:inline distT="0" distB="0" distL="0" distR="0" wp14:anchorId="2A33D773" wp14:editId="00A70ED6">
            <wp:extent cx="4035425" cy="4443730"/>
            <wp:effectExtent l="0" t="0" r="3175" b="0"/>
            <wp:docPr id="1316984337"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4035425" cy="4443730"/>
                    </a:xfrm>
                    <a:prstGeom prst="rect">
                      <a:avLst/>
                    </a:prstGeom>
                    <a:noFill/>
                    <a:ln>
                      <a:noFill/>
                    </a:ln>
                  </pic:spPr>
                </pic:pic>
              </a:graphicData>
            </a:graphic>
          </wp:inline>
        </w:drawing>
      </w:r>
    </w:p>
    <w:p w14:paraId="744475CE" w14:textId="17E06A8F" w:rsidR="007E3991" w:rsidRDefault="002573F6" w:rsidP="007E3991">
      <w:pPr>
        <w:pStyle w:val="BodyTextIndent"/>
        <w:spacing w:line="360" w:lineRule="auto"/>
        <w:ind w:left="0"/>
        <w:jc w:val="left"/>
      </w:pPr>
      <w:r>
        <w:br w:type="page"/>
      </w:r>
      <w:r w:rsidR="007E3991" w:rsidRPr="00357C3D">
        <w:rPr>
          <w:b/>
        </w:rPr>
        <w:lastRenderedPageBreak/>
        <w:t>Attachment 6.0-</w:t>
      </w:r>
      <w:r w:rsidR="00E20FB4">
        <w:rPr>
          <w:b/>
        </w:rPr>
        <w:t>5</w:t>
      </w:r>
      <w:r w:rsidR="007E3991" w:rsidRPr="00357C3D">
        <w:rPr>
          <w:b/>
        </w:rPr>
        <w:t xml:space="preserve">: </w:t>
      </w:r>
      <w:r w:rsidR="007E3991">
        <w:rPr>
          <w:b/>
        </w:rPr>
        <w:t>Monthly</w:t>
      </w:r>
      <w:r w:rsidR="007E3991" w:rsidRPr="00357C3D">
        <w:rPr>
          <w:b/>
        </w:rPr>
        <w:t xml:space="preserve"> Coincident Demand with Adjustments (MW)</w:t>
      </w:r>
    </w:p>
    <w:p w14:paraId="01685AF3" w14:textId="77777777" w:rsidR="007E3991" w:rsidRDefault="007E3991" w:rsidP="007E3991">
      <w:r>
        <w:t>Calendar Based</w:t>
      </w:r>
    </w:p>
    <w:p w14:paraId="1B75D11B" w14:textId="4A91539A" w:rsidR="007E3991" w:rsidRDefault="007E3991" w:rsidP="007E3991">
      <w:r>
        <w:t xml:space="preserve">Budget </w:t>
      </w:r>
      <w:r w:rsidR="005155ED">
        <w:t>2025</w:t>
      </w:r>
    </w:p>
    <w:p w14:paraId="633E8E8E" w14:textId="77777777" w:rsidR="002573F6" w:rsidRDefault="002573F6" w:rsidP="007E3991"/>
    <w:p w14:paraId="014C5AB9" w14:textId="0DDAF69E" w:rsidR="005155ED" w:rsidRDefault="00DB6818" w:rsidP="007E3991">
      <w:pPr>
        <w:rPr>
          <w:noProof/>
        </w:rPr>
      </w:pPr>
      <w:r w:rsidRPr="00DB6818">
        <w:rPr>
          <w:noProof/>
        </w:rPr>
        <w:drawing>
          <wp:inline distT="0" distB="0" distL="0" distR="0" wp14:anchorId="0EC8E679" wp14:editId="13E6D436">
            <wp:extent cx="6931025" cy="4992370"/>
            <wp:effectExtent l="0" t="0" r="3175" b="0"/>
            <wp:docPr id="2147242118"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931025" cy="4992370"/>
                    </a:xfrm>
                    <a:prstGeom prst="rect">
                      <a:avLst/>
                    </a:prstGeom>
                    <a:noFill/>
                    <a:ln>
                      <a:noFill/>
                    </a:ln>
                  </pic:spPr>
                </pic:pic>
              </a:graphicData>
            </a:graphic>
          </wp:inline>
        </w:drawing>
      </w:r>
    </w:p>
    <w:p w14:paraId="0E233F56" w14:textId="09D5BBDB" w:rsidR="00637DF5" w:rsidRDefault="00637DF5">
      <w:pPr>
        <w:spacing w:after="200" w:line="276" w:lineRule="auto"/>
        <w:jc w:val="left"/>
      </w:pPr>
    </w:p>
    <w:p w14:paraId="5F5316D4" w14:textId="52186D3B" w:rsidR="00E20FB4" w:rsidRDefault="00E20FB4" w:rsidP="00ED6B69">
      <w:pPr>
        <w:pStyle w:val="BodyTextIndent"/>
        <w:keepNext/>
        <w:spacing w:line="360" w:lineRule="auto"/>
        <w:ind w:left="0"/>
        <w:jc w:val="left"/>
      </w:pPr>
      <w:r w:rsidRPr="00357C3D">
        <w:rPr>
          <w:b/>
        </w:rPr>
        <w:lastRenderedPageBreak/>
        <w:t>Attachment 6.0-</w:t>
      </w:r>
      <w:r>
        <w:rPr>
          <w:b/>
        </w:rPr>
        <w:t>5</w:t>
      </w:r>
      <w:r w:rsidRPr="00357C3D">
        <w:rPr>
          <w:b/>
        </w:rPr>
        <w:t xml:space="preserve">: </w:t>
      </w:r>
      <w:r>
        <w:rPr>
          <w:b/>
        </w:rPr>
        <w:t>Monthly</w:t>
      </w:r>
      <w:r w:rsidRPr="00357C3D">
        <w:rPr>
          <w:b/>
        </w:rPr>
        <w:t xml:space="preserve"> Coincident Demand with Adjustments (MW)</w:t>
      </w:r>
      <w:r>
        <w:rPr>
          <w:b/>
        </w:rPr>
        <w:t xml:space="preserve"> (cont’d)</w:t>
      </w:r>
    </w:p>
    <w:p w14:paraId="119FB5A9" w14:textId="77777777" w:rsidR="00E20FB4" w:rsidRDefault="00E20FB4" w:rsidP="00ED6B69">
      <w:pPr>
        <w:keepNext/>
      </w:pPr>
      <w:r>
        <w:t>Calendar Based</w:t>
      </w:r>
    </w:p>
    <w:p w14:paraId="3708C46D" w14:textId="1BAD4329" w:rsidR="00E20FB4" w:rsidRDefault="00E20FB4" w:rsidP="00ED6B69">
      <w:pPr>
        <w:keepNext/>
      </w:pPr>
      <w:r>
        <w:t xml:space="preserve">Budget </w:t>
      </w:r>
      <w:r w:rsidR="00637DF5">
        <w:t>2025</w:t>
      </w:r>
    </w:p>
    <w:p w14:paraId="3F4BE4D3" w14:textId="77777777" w:rsidR="00E20FB4" w:rsidRDefault="00E20FB4" w:rsidP="00ED6B69">
      <w:pPr>
        <w:keepNext/>
      </w:pPr>
    </w:p>
    <w:p w14:paraId="3435DD3E" w14:textId="7DD6F0DB" w:rsidR="009766B8" w:rsidRDefault="00A74226" w:rsidP="00E20FB4">
      <w:pPr>
        <w:rPr>
          <w:noProof/>
        </w:rPr>
      </w:pPr>
      <w:r w:rsidRPr="00A74226">
        <w:rPr>
          <w:noProof/>
        </w:rPr>
        <w:drawing>
          <wp:inline distT="0" distB="0" distL="0" distR="0" wp14:anchorId="6C747404" wp14:editId="0AA4BB4E">
            <wp:extent cx="6931025" cy="4992370"/>
            <wp:effectExtent l="0" t="0" r="3175" b="0"/>
            <wp:docPr id="394969366"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931025" cy="4992370"/>
                    </a:xfrm>
                    <a:prstGeom prst="rect">
                      <a:avLst/>
                    </a:prstGeom>
                    <a:noFill/>
                    <a:ln>
                      <a:noFill/>
                    </a:ln>
                  </pic:spPr>
                </pic:pic>
              </a:graphicData>
            </a:graphic>
          </wp:inline>
        </w:drawing>
      </w:r>
    </w:p>
    <w:p w14:paraId="11E3AE76" w14:textId="76C46132" w:rsidR="00337BCB" w:rsidRDefault="00337BCB" w:rsidP="00E20FB4"/>
    <w:p w14:paraId="609665F9" w14:textId="77777777" w:rsidR="00EC6C08" w:rsidRDefault="00EC6C08">
      <w:pPr>
        <w:spacing w:after="200" w:line="276" w:lineRule="auto"/>
        <w:jc w:val="left"/>
        <w:rPr>
          <w:b w:val="0"/>
        </w:rPr>
        <w:sectPr w:rsidR="00EC6C08" w:rsidSect="008F6D40">
          <w:pgSz w:w="15840" w:h="12240" w:orient="landscape"/>
          <w:pgMar w:top="1440" w:right="1440" w:bottom="1440" w:left="1440" w:header="720" w:footer="720" w:gutter="0"/>
          <w:cols w:space="720"/>
          <w:docGrid w:linePitch="360"/>
        </w:sectPr>
      </w:pPr>
    </w:p>
    <w:p w14:paraId="288E437D" w14:textId="6F526596" w:rsidR="00357C3D" w:rsidRDefault="00357C3D" w:rsidP="008F6D40">
      <w:pPr>
        <w:spacing w:after="200" w:line="276" w:lineRule="auto"/>
        <w:jc w:val="left"/>
      </w:pPr>
      <w:r w:rsidRPr="00357C3D">
        <w:lastRenderedPageBreak/>
        <w:t>Attachment 6.0-</w:t>
      </w:r>
      <w:r w:rsidR="00E20FB4" w:rsidRPr="003C0B18">
        <w:rPr>
          <w:bCs/>
        </w:rPr>
        <w:t>6</w:t>
      </w:r>
      <w:r w:rsidRPr="00357C3D">
        <w:t xml:space="preserve">: </w:t>
      </w:r>
      <w:r>
        <w:t>Monthly</w:t>
      </w:r>
      <w:r w:rsidRPr="00357C3D">
        <w:t xml:space="preserve"> </w:t>
      </w:r>
      <w:r>
        <w:t>Unadjusted Non-</w:t>
      </w:r>
      <w:r w:rsidRPr="00357C3D">
        <w:t>Coincident Demand (MW)</w:t>
      </w:r>
    </w:p>
    <w:p w14:paraId="74BFCBA7" w14:textId="77777777" w:rsidR="000C3729" w:rsidRDefault="000C3729" w:rsidP="000C3729">
      <w:r>
        <w:t>Calendar Based</w:t>
      </w:r>
    </w:p>
    <w:p w14:paraId="7CF4BD2D" w14:textId="3EB319D1" w:rsidR="000C3729" w:rsidRDefault="000C3729" w:rsidP="000C3729">
      <w:r>
        <w:t xml:space="preserve">Budget </w:t>
      </w:r>
      <w:r w:rsidR="00485E6B">
        <w:t>2025</w:t>
      </w:r>
    </w:p>
    <w:p w14:paraId="15E50D85" w14:textId="77777777" w:rsidR="00DF5027" w:rsidRDefault="00DF5027" w:rsidP="000C3729"/>
    <w:p w14:paraId="1BCBCA3D" w14:textId="351C0EEB" w:rsidR="003E4C8A" w:rsidRDefault="001748F2" w:rsidP="000C3729">
      <w:r w:rsidRPr="001748F2">
        <w:rPr>
          <w:noProof/>
        </w:rPr>
        <w:drawing>
          <wp:inline distT="0" distB="0" distL="0" distR="0" wp14:anchorId="410E6588" wp14:editId="36730185">
            <wp:extent cx="3968750" cy="4992370"/>
            <wp:effectExtent l="0" t="0" r="0" b="0"/>
            <wp:docPr id="1576425346"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3968750" cy="4992370"/>
                    </a:xfrm>
                    <a:prstGeom prst="rect">
                      <a:avLst/>
                    </a:prstGeom>
                    <a:noFill/>
                    <a:ln>
                      <a:noFill/>
                    </a:ln>
                  </pic:spPr>
                </pic:pic>
              </a:graphicData>
            </a:graphic>
          </wp:inline>
        </w:drawing>
      </w:r>
    </w:p>
    <w:p w14:paraId="72576856" w14:textId="77777777" w:rsidR="003C30E4" w:rsidRDefault="003C30E4">
      <w:pPr>
        <w:spacing w:after="200" w:line="276" w:lineRule="auto"/>
        <w:jc w:val="left"/>
      </w:pPr>
      <w:r>
        <w:rPr>
          <w:b w:val="0"/>
        </w:rPr>
        <w:br w:type="page"/>
      </w:r>
    </w:p>
    <w:p w14:paraId="7C0D4331" w14:textId="326F492F" w:rsidR="00830B15" w:rsidRDefault="00830B15" w:rsidP="00830B15">
      <w:pPr>
        <w:pStyle w:val="BodyTextIndent"/>
        <w:spacing w:line="360" w:lineRule="auto"/>
        <w:ind w:left="0"/>
        <w:jc w:val="left"/>
        <w:rPr>
          <w:b/>
        </w:rPr>
      </w:pPr>
      <w:r w:rsidRPr="00357C3D">
        <w:rPr>
          <w:b/>
        </w:rPr>
        <w:lastRenderedPageBreak/>
        <w:t>Attachment 6.0-</w:t>
      </w:r>
      <w:r w:rsidR="00E20FB4">
        <w:rPr>
          <w:b/>
        </w:rPr>
        <w:t>6</w:t>
      </w:r>
      <w:r w:rsidRPr="00357C3D">
        <w:rPr>
          <w:b/>
        </w:rPr>
        <w:t xml:space="preserve">: </w:t>
      </w:r>
      <w:r>
        <w:rPr>
          <w:b/>
        </w:rPr>
        <w:t>Monthly</w:t>
      </w:r>
      <w:r w:rsidRPr="00357C3D">
        <w:rPr>
          <w:b/>
        </w:rPr>
        <w:t xml:space="preserve"> </w:t>
      </w:r>
      <w:r>
        <w:rPr>
          <w:b/>
        </w:rPr>
        <w:t>Unadjusted Non-</w:t>
      </w:r>
      <w:r w:rsidRPr="00357C3D">
        <w:rPr>
          <w:b/>
        </w:rPr>
        <w:t>Coincident Demand (MW)</w:t>
      </w:r>
      <w:r>
        <w:rPr>
          <w:b/>
        </w:rPr>
        <w:t xml:space="preserve"> (cont’d)</w:t>
      </w:r>
    </w:p>
    <w:p w14:paraId="23D7B60C" w14:textId="77777777" w:rsidR="00830B15" w:rsidRDefault="00830B15" w:rsidP="00830B15">
      <w:r>
        <w:t>Calendar Based</w:t>
      </w:r>
      <w:r w:rsidRPr="00830B15">
        <w:t xml:space="preserve"> </w:t>
      </w:r>
    </w:p>
    <w:p w14:paraId="256FBEF5" w14:textId="1DD45BF1" w:rsidR="00830B15" w:rsidRDefault="00830B15" w:rsidP="00830B15">
      <w:r>
        <w:t xml:space="preserve">Budget </w:t>
      </w:r>
      <w:r w:rsidR="003E4C8A">
        <w:t>2025</w:t>
      </w:r>
    </w:p>
    <w:p w14:paraId="040032C7" w14:textId="77777777" w:rsidR="00DF5027" w:rsidRDefault="00DF5027" w:rsidP="00830B15"/>
    <w:p w14:paraId="115F770A" w14:textId="5B5A88B0" w:rsidR="003E4C8A" w:rsidRDefault="004B4B5B" w:rsidP="00830B15">
      <w:pPr>
        <w:rPr>
          <w:noProof/>
        </w:rPr>
      </w:pPr>
      <w:r w:rsidRPr="004B4B5B">
        <w:rPr>
          <w:noProof/>
        </w:rPr>
        <w:drawing>
          <wp:inline distT="0" distB="0" distL="0" distR="0" wp14:anchorId="37076768" wp14:editId="485EDA74">
            <wp:extent cx="3968750" cy="4992370"/>
            <wp:effectExtent l="0" t="0" r="0" b="0"/>
            <wp:docPr id="262920811"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3968750" cy="4992370"/>
                    </a:xfrm>
                    <a:prstGeom prst="rect">
                      <a:avLst/>
                    </a:prstGeom>
                    <a:noFill/>
                    <a:ln>
                      <a:noFill/>
                    </a:ln>
                  </pic:spPr>
                </pic:pic>
              </a:graphicData>
            </a:graphic>
          </wp:inline>
        </w:drawing>
      </w:r>
    </w:p>
    <w:p w14:paraId="3CEDE6A2" w14:textId="77777777" w:rsidR="003A5E3E" w:rsidRDefault="003A5E3E">
      <w:pPr>
        <w:spacing w:after="200" w:line="276" w:lineRule="auto"/>
        <w:jc w:val="left"/>
      </w:pPr>
      <w:r>
        <w:rPr>
          <w:b w:val="0"/>
        </w:rPr>
        <w:br w:type="page"/>
      </w:r>
    </w:p>
    <w:p w14:paraId="15CEFA68" w14:textId="6E25D875" w:rsidR="00EA1B7A" w:rsidRDefault="00EA1B7A" w:rsidP="00EA1B7A">
      <w:pPr>
        <w:pStyle w:val="BodyTextIndent"/>
        <w:spacing w:line="360" w:lineRule="auto"/>
        <w:ind w:left="0"/>
        <w:jc w:val="left"/>
        <w:rPr>
          <w:b/>
        </w:rPr>
      </w:pPr>
      <w:r w:rsidRPr="00357C3D">
        <w:rPr>
          <w:b/>
        </w:rPr>
        <w:lastRenderedPageBreak/>
        <w:t>Attachment 6.0-</w:t>
      </w:r>
      <w:r w:rsidR="00E23976">
        <w:rPr>
          <w:b/>
        </w:rPr>
        <w:t>7</w:t>
      </w:r>
      <w:r w:rsidRPr="00357C3D">
        <w:rPr>
          <w:b/>
        </w:rPr>
        <w:t xml:space="preserve">: </w:t>
      </w:r>
      <w:r>
        <w:rPr>
          <w:b/>
        </w:rPr>
        <w:t>Expansion Factors</w:t>
      </w:r>
    </w:p>
    <w:p w14:paraId="40691DA8" w14:textId="54B2197A" w:rsidR="00830B15" w:rsidRDefault="00830B15" w:rsidP="00830B15">
      <w:pPr>
        <w:pStyle w:val="BodyTextIndent"/>
        <w:spacing w:line="360" w:lineRule="auto"/>
        <w:ind w:left="0"/>
        <w:rPr>
          <w:b/>
        </w:rPr>
      </w:pPr>
      <w:r>
        <w:rPr>
          <w:b/>
        </w:rPr>
        <w:t xml:space="preserve">Budget </w:t>
      </w:r>
      <w:r w:rsidR="001311B6">
        <w:rPr>
          <w:b/>
        </w:rPr>
        <w:t>2025</w:t>
      </w:r>
    </w:p>
    <w:p w14:paraId="41F730EA" w14:textId="3F07BBC2" w:rsidR="00DF5027" w:rsidRDefault="00D60C9E" w:rsidP="00830B15">
      <w:pPr>
        <w:pStyle w:val="BodyTextIndent"/>
        <w:spacing w:line="360" w:lineRule="auto"/>
        <w:ind w:left="0"/>
      </w:pPr>
      <w:r w:rsidRPr="00D60C9E">
        <w:rPr>
          <w:noProof/>
        </w:rPr>
        <w:drawing>
          <wp:inline distT="0" distB="0" distL="0" distR="0" wp14:anchorId="0675CB37" wp14:editId="635C71C6">
            <wp:extent cx="8229600" cy="1223645"/>
            <wp:effectExtent l="0" t="0" r="0" b="0"/>
            <wp:docPr id="1613667078"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8229600" cy="1223645"/>
                    </a:xfrm>
                    <a:prstGeom prst="rect">
                      <a:avLst/>
                    </a:prstGeom>
                    <a:noFill/>
                    <a:ln>
                      <a:noFill/>
                    </a:ln>
                  </pic:spPr>
                </pic:pic>
              </a:graphicData>
            </a:graphic>
          </wp:inline>
        </w:drawing>
      </w:r>
    </w:p>
    <w:p w14:paraId="1BA38083" w14:textId="2793F649" w:rsidR="00EA1B7A" w:rsidRDefault="00EA1B7A" w:rsidP="00830B15">
      <w:pPr>
        <w:pStyle w:val="BodyTextIndent"/>
        <w:spacing w:line="360" w:lineRule="auto"/>
        <w:ind w:left="0"/>
      </w:pPr>
    </w:p>
    <w:p w14:paraId="2E765A61" w14:textId="6E2A95F7" w:rsidR="00EA1B7A" w:rsidRDefault="00BA0BDA" w:rsidP="00EA1B7A">
      <w:pPr>
        <w:pStyle w:val="BodyTextIndent"/>
        <w:spacing w:line="360" w:lineRule="auto"/>
        <w:ind w:left="0"/>
        <w:jc w:val="left"/>
        <w:rPr>
          <w:b/>
        </w:rPr>
      </w:pPr>
      <w:r>
        <w:br w:type="page"/>
      </w:r>
      <w:r w:rsidR="00EA1B7A" w:rsidRPr="00357C3D">
        <w:rPr>
          <w:b/>
        </w:rPr>
        <w:lastRenderedPageBreak/>
        <w:t>Attachment 6.0-</w:t>
      </w:r>
      <w:r w:rsidR="00E23976">
        <w:rPr>
          <w:b/>
        </w:rPr>
        <w:t>8</w:t>
      </w:r>
      <w:r w:rsidR="00EA1B7A" w:rsidRPr="00357C3D">
        <w:rPr>
          <w:b/>
        </w:rPr>
        <w:t xml:space="preserve">: Annual </w:t>
      </w:r>
      <w:r w:rsidR="00EA1B7A">
        <w:rPr>
          <w:b/>
        </w:rPr>
        <w:t>Supply with Adjustments</w:t>
      </w:r>
      <w:r w:rsidR="00EA1B7A" w:rsidRPr="00357C3D">
        <w:rPr>
          <w:b/>
        </w:rPr>
        <w:t xml:space="preserve"> (</w:t>
      </w:r>
      <w:r w:rsidR="00EA1B7A">
        <w:rPr>
          <w:b/>
        </w:rPr>
        <w:t>G</w:t>
      </w:r>
      <w:r w:rsidR="00EA1B7A" w:rsidRPr="00357C3D">
        <w:rPr>
          <w:b/>
        </w:rPr>
        <w:t>W</w:t>
      </w:r>
      <w:r w:rsidR="00EA1B7A">
        <w:rPr>
          <w:b/>
        </w:rPr>
        <w:t>h</w:t>
      </w:r>
      <w:r w:rsidR="00EA1B7A" w:rsidRPr="00357C3D">
        <w:rPr>
          <w:b/>
        </w:rPr>
        <w:t>)</w:t>
      </w:r>
    </w:p>
    <w:p w14:paraId="0D760964" w14:textId="77777777" w:rsidR="00D403B8" w:rsidRPr="00D403B8" w:rsidRDefault="00D403B8" w:rsidP="00D403B8">
      <w:r w:rsidRPr="00D403B8">
        <w:t>Calendar Based</w:t>
      </w:r>
    </w:p>
    <w:p w14:paraId="0453061E" w14:textId="3B5C47AA" w:rsidR="00D403B8" w:rsidRDefault="00D403B8" w:rsidP="00D403B8">
      <w:r w:rsidRPr="00D403B8">
        <w:t xml:space="preserve">Budget </w:t>
      </w:r>
      <w:r w:rsidR="00B0684A" w:rsidRPr="00D403B8">
        <w:t>20</w:t>
      </w:r>
      <w:r w:rsidR="00B0684A">
        <w:t>25</w:t>
      </w:r>
    </w:p>
    <w:p w14:paraId="582E20F4" w14:textId="65554BA2" w:rsidR="005C2215" w:rsidRDefault="005C2215" w:rsidP="00D403B8"/>
    <w:p w14:paraId="341F9468" w14:textId="3C8F809E" w:rsidR="00A17BB2" w:rsidRDefault="009B3EE2" w:rsidP="00D403B8">
      <w:pPr>
        <w:rPr>
          <w:noProof/>
        </w:rPr>
      </w:pPr>
      <w:r w:rsidRPr="009B3EE2">
        <w:rPr>
          <w:noProof/>
        </w:rPr>
        <w:drawing>
          <wp:inline distT="0" distB="0" distL="0" distR="0" wp14:anchorId="4C4FCD53" wp14:editId="07309277">
            <wp:extent cx="3712210" cy="4839970"/>
            <wp:effectExtent l="0" t="0" r="2540" b="0"/>
            <wp:docPr id="178424169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3712210" cy="4839970"/>
                    </a:xfrm>
                    <a:prstGeom prst="rect">
                      <a:avLst/>
                    </a:prstGeom>
                    <a:noFill/>
                    <a:ln>
                      <a:noFill/>
                    </a:ln>
                  </pic:spPr>
                </pic:pic>
              </a:graphicData>
            </a:graphic>
          </wp:inline>
        </w:drawing>
      </w:r>
    </w:p>
    <w:p w14:paraId="144372E0" w14:textId="3781ED4B" w:rsidR="00A05BE7" w:rsidRPr="00D403B8" w:rsidRDefault="00A05BE7" w:rsidP="00D403B8"/>
    <w:p w14:paraId="5E1F0C82" w14:textId="77777777" w:rsidR="004C22F1" w:rsidRDefault="004C22F1">
      <w:pPr>
        <w:spacing w:after="200" w:line="276" w:lineRule="auto"/>
        <w:jc w:val="left"/>
      </w:pPr>
      <w:r>
        <w:rPr>
          <w:b w:val="0"/>
        </w:rPr>
        <w:br w:type="page"/>
      </w:r>
    </w:p>
    <w:p w14:paraId="546F7180" w14:textId="3C031A91" w:rsidR="00EA1B7A" w:rsidRDefault="00EA1B7A" w:rsidP="00CE44B7">
      <w:pPr>
        <w:pStyle w:val="BodyTextIndent"/>
        <w:keepNext/>
        <w:widowControl w:val="0"/>
        <w:spacing w:line="360" w:lineRule="auto"/>
        <w:ind w:left="0"/>
        <w:jc w:val="left"/>
      </w:pPr>
      <w:r w:rsidRPr="00357C3D">
        <w:rPr>
          <w:b/>
        </w:rPr>
        <w:lastRenderedPageBreak/>
        <w:t>Attachment 6.0-</w:t>
      </w:r>
      <w:r w:rsidR="00E23976">
        <w:rPr>
          <w:b/>
        </w:rPr>
        <w:t>9</w:t>
      </w:r>
      <w:r w:rsidRPr="00357C3D">
        <w:rPr>
          <w:b/>
        </w:rPr>
        <w:t xml:space="preserve"> </w:t>
      </w:r>
      <w:r>
        <w:rPr>
          <w:b/>
        </w:rPr>
        <w:t>Monthly</w:t>
      </w:r>
      <w:r w:rsidRPr="00357C3D">
        <w:rPr>
          <w:b/>
        </w:rPr>
        <w:t xml:space="preserve"> </w:t>
      </w:r>
      <w:r>
        <w:rPr>
          <w:b/>
        </w:rPr>
        <w:t>Supply by Class</w:t>
      </w:r>
      <w:r w:rsidRPr="00357C3D">
        <w:rPr>
          <w:b/>
        </w:rPr>
        <w:t xml:space="preserve"> (</w:t>
      </w:r>
      <w:r>
        <w:rPr>
          <w:b/>
        </w:rPr>
        <w:t>G</w:t>
      </w:r>
      <w:r w:rsidRPr="00357C3D">
        <w:rPr>
          <w:b/>
        </w:rPr>
        <w:t>W</w:t>
      </w:r>
      <w:r>
        <w:rPr>
          <w:b/>
        </w:rPr>
        <w:t>h</w:t>
      </w:r>
      <w:r w:rsidRPr="00357C3D">
        <w:rPr>
          <w:b/>
        </w:rPr>
        <w:t>)</w:t>
      </w:r>
    </w:p>
    <w:p w14:paraId="52622646" w14:textId="77777777" w:rsidR="004A088E" w:rsidRPr="00D403B8" w:rsidRDefault="004A088E" w:rsidP="00CE44B7">
      <w:pPr>
        <w:keepNext/>
        <w:widowControl w:val="0"/>
      </w:pPr>
      <w:r w:rsidRPr="00D403B8">
        <w:t>Calendar Based</w:t>
      </w:r>
    </w:p>
    <w:p w14:paraId="74BA6057" w14:textId="4E93C12B" w:rsidR="00EC4B6F" w:rsidRDefault="004A088E" w:rsidP="00CE44B7">
      <w:pPr>
        <w:keepNext/>
        <w:widowControl w:val="0"/>
      </w:pPr>
      <w:r w:rsidRPr="00D403B8">
        <w:t xml:space="preserve">Budget </w:t>
      </w:r>
      <w:r w:rsidR="004C22F1" w:rsidRPr="00D403B8">
        <w:t>20</w:t>
      </w:r>
      <w:r w:rsidR="004C22F1">
        <w:t>25</w:t>
      </w:r>
    </w:p>
    <w:p w14:paraId="1A7EE5F4" w14:textId="77777777" w:rsidR="00EC4B6F" w:rsidRDefault="00EC4B6F" w:rsidP="00CE44B7">
      <w:pPr>
        <w:keepNext/>
        <w:widowControl w:val="0"/>
      </w:pPr>
    </w:p>
    <w:p w14:paraId="4031D253" w14:textId="2FABBCC8" w:rsidR="00B73FB1" w:rsidRDefault="00E1753D" w:rsidP="003C30E4">
      <w:pPr>
        <w:spacing w:after="200" w:line="276" w:lineRule="auto"/>
        <w:rPr>
          <w:noProof/>
        </w:rPr>
      </w:pPr>
      <w:r w:rsidRPr="00E1753D">
        <w:rPr>
          <w:noProof/>
        </w:rPr>
        <w:drawing>
          <wp:inline distT="0" distB="0" distL="0" distR="0" wp14:anchorId="34A95AC1" wp14:editId="5400201C">
            <wp:extent cx="6867525" cy="4991100"/>
            <wp:effectExtent l="0" t="0" r="9525" b="0"/>
            <wp:docPr id="97233961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6867525" cy="4991100"/>
                    </a:xfrm>
                    <a:prstGeom prst="rect">
                      <a:avLst/>
                    </a:prstGeom>
                    <a:noFill/>
                    <a:ln>
                      <a:noFill/>
                    </a:ln>
                  </pic:spPr>
                </pic:pic>
              </a:graphicData>
            </a:graphic>
          </wp:inline>
        </w:drawing>
      </w:r>
    </w:p>
    <w:p w14:paraId="315BDD1F" w14:textId="1ACAD954" w:rsidR="004A088E" w:rsidRDefault="004A088E" w:rsidP="003C30E4">
      <w:pPr>
        <w:keepNext/>
        <w:widowControl w:val="0"/>
        <w:jc w:val="left"/>
      </w:pPr>
      <w:r w:rsidRPr="00357C3D">
        <w:lastRenderedPageBreak/>
        <w:t>Attachment 6.0-</w:t>
      </w:r>
      <w:r w:rsidR="00E23976">
        <w:t>9</w:t>
      </w:r>
      <w:r w:rsidRPr="00357C3D">
        <w:t xml:space="preserve"> </w:t>
      </w:r>
      <w:r>
        <w:t>Monthly</w:t>
      </w:r>
      <w:r w:rsidRPr="00357C3D">
        <w:t xml:space="preserve"> </w:t>
      </w:r>
      <w:r>
        <w:t>Supply by Class</w:t>
      </w:r>
      <w:r w:rsidRPr="00357C3D">
        <w:t xml:space="preserve"> (</w:t>
      </w:r>
      <w:r>
        <w:t>G</w:t>
      </w:r>
      <w:r w:rsidRPr="00357C3D">
        <w:t>W</w:t>
      </w:r>
      <w:r>
        <w:t>h</w:t>
      </w:r>
      <w:r w:rsidRPr="00357C3D">
        <w:t>)</w:t>
      </w:r>
      <w:r>
        <w:t xml:space="preserve"> (cont’d)</w:t>
      </w:r>
    </w:p>
    <w:p w14:paraId="2C3EAB68" w14:textId="77777777" w:rsidR="004A088E" w:rsidRPr="00D403B8" w:rsidRDefault="004A088E" w:rsidP="004A088E">
      <w:r w:rsidRPr="00D403B8">
        <w:t>Calendar Based</w:t>
      </w:r>
    </w:p>
    <w:p w14:paraId="7B4270A5" w14:textId="431FD036" w:rsidR="004A088E" w:rsidRDefault="004A088E" w:rsidP="004A088E">
      <w:r w:rsidRPr="00D403B8">
        <w:t xml:space="preserve">Budget </w:t>
      </w:r>
      <w:r w:rsidR="00B73FB1" w:rsidRPr="00D403B8">
        <w:t>20</w:t>
      </w:r>
      <w:r w:rsidR="00B73FB1">
        <w:t>25</w:t>
      </w:r>
    </w:p>
    <w:p w14:paraId="12C231F9" w14:textId="77777777" w:rsidR="00EC4B6F" w:rsidRDefault="00EC4B6F" w:rsidP="004A088E"/>
    <w:p w14:paraId="7E5DAE7E" w14:textId="18B68A48" w:rsidR="00794546" w:rsidRDefault="003112D0" w:rsidP="004A088E">
      <w:pPr>
        <w:rPr>
          <w:noProof/>
        </w:rPr>
      </w:pPr>
      <w:r w:rsidRPr="003112D0">
        <w:rPr>
          <w:noProof/>
        </w:rPr>
        <w:drawing>
          <wp:inline distT="0" distB="0" distL="0" distR="0" wp14:anchorId="0021F0FA" wp14:editId="7E55BB7A">
            <wp:extent cx="6867525" cy="4991100"/>
            <wp:effectExtent l="0" t="0" r="9525" b="0"/>
            <wp:docPr id="20118229"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6867525" cy="4991100"/>
                    </a:xfrm>
                    <a:prstGeom prst="rect">
                      <a:avLst/>
                    </a:prstGeom>
                    <a:noFill/>
                    <a:ln>
                      <a:noFill/>
                    </a:ln>
                  </pic:spPr>
                </pic:pic>
              </a:graphicData>
            </a:graphic>
          </wp:inline>
        </w:drawing>
      </w:r>
    </w:p>
    <w:p w14:paraId="3EE86F2A" w14:textId="30B60B0A" w:rsidR="007053BC" w:rsidRPr="00D403B8" w:rsidRDefault="007053BC" w:rsidP="004A088E"/>
    <w:p w14:paraId="6D22A1BA" w14:textId="77777777" w:rsidR="0081590A" w:rsidRDefault="0081590A" w:rsidP="00BF6C08">
      <w:pPr>
        <w:pStyle w:val="BodyTextIndent"/>
        <w:spacing w:line="360" w:lineRule="auto"/>
        <w:ind w:left="0"/>
        <w:jc w:val="left"/>
        <w:rPr>
          <w:b/>
        </w:rPr>
        <w:sectPr w:rsidR="0081590A" w:rsidSect="007E245C">
          <w:pgSz w:w="15840" w:h="12240" w:orient="landscape"/>
          <w:pgMar w:top="1440" w:right="1440" w:bottom="1440" w:left="1440" w:header="720" w:footer="720" w:gutter="0"/>
          <w:cols w:space="720"/>
          <w:docGrid w:linePitch="360"/>
        </w:sectPr>
      </w:pPr>
    </w:p>
    <w:p w14:paraId="0030B5AA" w14:textId="12BCB96F" w:rsidR="00F05F91" w:rsidRDefault="00EA1B7A" w:rsidP="00BF6C08">
      <w:pPr>
        <w:pStyle w:val="BodyTextIndent"/>
        <w:spacing w:line="360" w:lineRule="auto"/>
        <w:ind w:left="0"/>
        <w:jc w:val="left"/>
      </w:pPr>
      <w:r w:rsidRPr="00357C3D">
        <w:rPr>
          <w:b/>
        </w:rPr>
        <w:lastRenderedPageBreak/>
        <w:t>Attachment 6.0-</w:t>
      </w:r>
      <w:r w:rsidR="00BF6C08">
        <w:rPr>
          <w:b/>
        </w:rPr>
        <w:t>10</w:t>
      </w:r>
      <w:r w:rsidRPr="00357C3D">
        <w:rPr>
          <w:b/>
        </w:rPr>
        <w:t xml:space="preserve">: </w:t>
      </w:r>
      <w:r>
        <w:rPr>
          <w:b/>
        </w:rPr>
        <w:t>Coincident &amp; Non-</w:t>
      </w:r>
      <w:r w:rsidRPr="00357C3D">
        <w:rPr>
          <w:b/>
        </w:rPr>
        <w:t xml:space="preserve">Coincident </w:t>
      </w:r>
      <w:r>
        <w:rPr>
          <w:b/>
        </w:rPr>
        <w:t>Historical Peak Demand by Class</w:t>
      </w:r>
      <w:r w:rsidRPr="00357C3D">
        <w:rPr>
          <w:b/>
        </w:rPr>
        <w:t xml:space="preserve"> (MW)</w:t>
      </w:r>
      <w:r w:rsidR="00A027E8" w:rsidRPr="00A027E8">
        <w:t xml:space="preserve"> </w:t>
      </w:r>
    </w:p>
    <w:p w14:paraId="0982EF18" w14:textId="09244815" w:rsidR="005D1641" w:rsidRDefault="00694246" w:rsidP="00A027E8">
      <w:pPr>
        <w:pStyle w:val="BodyTextIndent"/>
        <w:spacing w:line="360" w:lineRule="auto"/>
        <w:ind w:left="0"/>
        <w:rPr>
          <w:noProof/>
        </w:rPr>
      </w:pPr>
      <w:r w:rsidRPr="00694246">
        <w:rPr>
          <w:noProof/>
        </w:rPr>
        <w:drawing>
          <wp:inline distT="0" distB="0" distL="0" distR="0" wp14:anchorId="14A68DC3" wp14:editId="7A37C286">
            <wp:extent cx="4943475" cy="7600950"/>
            <wp:effectExtent l="0" t="0" r="9525" b="0"/>
            <wp:docPr id="54507675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943475" cy="7600950"/>
                    </a:xfrm>
                    <a:prstGeom prst="rect">
                      <a:avLst/>
                    </a:prstGeom>
                    <a:noFill/>
                    <a:ln>
                      <a:noFill/>
                    </a:ln>
                  </pic:spPr>
                </pic:pic>
              </a:graphicData>
            </a:graphic>
          </wp:inline>
        </w:drawing>
      </w:r>
    </w:p>
    <w:p w14:paraId="16C335B3" w14:textId="77777777" w:rsidR="000D2F37" w:rsidRDefault="000D2F37">
      <w:pPr>
        <w:spacing w:after="200" w:line="276" w:lineRule="auto"/>
        <w:jc w:val="left"/>
      </w:pPr>
      <w:r>
        <w:rPr>
          <w:b w:val="0"/>
        </w:rPr>
        <w:br w:type="page"/>
      </w:r>
    </w:p>
    <w:p w14:paraId="109E97C7" w14:textId="64CFE64E" w:rsidR="00EA1B7A" w:rsidRDefault="009E003F" w:rsidP="00EA1B7A">
      <w:pPr>
        <w:pStyle w:val="BodyTextIndent"/>
        <w:spacing w:line="360" w:lineRule="auto"/>
        <w:ind w:left="0"/>
        <w:jc w:val="left"/>
        <w:rPr>
          <w:b/>
        </w:rPr>
      </w:pPr>
      <w:r w:rsidRPr="00357C3D">
        <w:rPr>
          <w:b/>
        </w:rPr>
        <w:lastRenderedPageBreak/>
        <w:t>Attachment 6.0-</w:t>
      </w:r>
      <w:r w:rsidR="00BF6C08">
        <w:rPr>
          <w:b/>
        </w:rPr>
        <w:t>10</w:t>
      </w:r>
      <w:r w:rsidRPr="00357C3D">
        <w:rPr>
          <w:b/>
        </w:rPr>
        <w:t xml:space="preserve">: </w:t>
      </w:r>
      <w:r>
        <w:rPr>
          <w:b/>
        </w:rPr>
        <w:t>Coincident &amp; Non-</w:t>
      </w:r>
      <w:r w:rsidRPr="00357C3D">
        <w:rPr>
          <w:b/>
        </w:rPr>
        <w:t xml:space="preserve">Coincident </w:t>
      </w:r>
      <w:r>
        <w:rPr>
          <w:b/>
        </w:rPr>
        <w:t>Historical Peak Demand by Class</w:t>
      </w:r>
      <w:r w:rsidRPr="00357C3D">
        <w:rPr>
          <w:b/>
        </w:rPr>
        <w:t xml:space="preserve"> (MW)</w:t>
      </w:r>
      <w:r>
        <w:rPr>
          <w:b/>
        </w:rPr>
        <w:t xml:space="preserve"> (cont’d)</w:t>
      </w:r>
    </w:p>
    <w:p w14:paraId="20748362" w14:textId="5FA7B57E" w:rsidR="00490DE9" w:rsidRDefault="004D04F4" w:rsidP="00BF6C08">
      <w:pPr>
        <w:pStyle w:val="BodyTextIndent"/>
        <w:spacing w:line="360" w:lineRule="auto"/>
        <w:ind w:left="0"/>
        <w:rPr>
          <w:b/>
          <w:noProof/>
        </w:rPr>
      </w:pPr>
      <w:r w:rsidRPr="004D04F4">
        <w:rPr>
          <w:b/>
          <w:noProof/>
        </w:rPr>
        <w:drawing>
          <wp:inline distT="0" distB="0" distL="0" distR="0" wp14:anchorId="7ED1807E" wp14:editId="38435F7F">
            <wp:extent cx="5295900" cy="7600950"/>
            <wp:effectExtent l="0" t="0" r="0" b="0"/>
            <wp:docPr id="340016262"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295900" cy="7600950"/>
                    </a:xfrm>
                    <a:prstGeom prst="rect">
                      <a:avLst/>
                    </a:prstGeom>
                    <a:noFill/>
                    <a:ln>
                      <a:noFill/>
                    </a:ln>
                  </pic:spPr>
                </pic:pic>
              </a:graphicData>
            </a:graphic>
          </wp:inline>
        </w:drawing>
      </w:r>
    </w:p>
    <w:p w14:paraId="04D214F3" w14:textId="6F65E317" w:rsidR="000F2494" w:rsidRDefault="005B020B" w:rsidP="00833F18">
      <w:pPr>
        <w:pStyle w:val="BodyTextIndent"/>
        <w:spacing w:line="360" w:lineRule="auto"/>
        <w:ind w:left="0"/>
        <w:jc w:val="both"/>
        <w:sectPr w:rsidR="000F2494" w:rsidSect="0081590A">
          <w:pgSz w:w="12240" w:h="15840"/>
          <w:pgMar w:top="1440" w:right="1440" w:bottom="1440" w:left="1440" w:header="720" w:footer="720" w:gutter="0"/>
          <w:cols w:space="720"/>
          <w:docGrid w:linePitch="360"/>
        </w:sectPr>
      </w:pPr>
      <w:r>
        <w:br w:type="page"/>
      </w:r>
    </w:p>
    <w:p w14:paraId="30885A3A" w14:textId="3949868A" w:rsidR="00BA00DE" w:rsidRDefault="00BA00DE" w:rsidP="000F2494">
      <w:pPr>
        <w:pStyle w:val="Heading1"/>
        <w:jc w:val="left"/>
        <w:rPr>
          <w:rFonts w:ascii="Arial" w:hAnsi="Arial" w:cs="Arial"/>
          <w:b/>
          <w:color w:val="auto"/>
        </w:rPr>
      </w:pPr>
      <w:bookmarkStart w:id="384" w:name="_Toc188257155"/>
      <w:bookmarkStart w:id="385" w:name="_Toc188257370"/>
      <w:bookmarkStart w:id="386" w:name="_Toc188257594"/>
      <w:bookmarkStart w:id="387" w:name="_Toc468762652"/>
      <w:bookmarkStart w:id="388" w:name="_Toc497031892"/>
      <w:bookmarkStart w:id="389" w:name="_Toc503665814"/>
      <w:bookmarkStart w:id="390" w:name="_Toc59357565"/>
      <w:bookmarkStart w:id="391" w:name="_Toc347120443"/>
      <w:bookmarkStart w:id="392" w:name="_Toc189162603"/>
      <w:r>
        <w:rPr>
          <w:rFonts w:ascii="Arial" w:hAnsi="Arial" w:cs="Arial"/>
          <w:b/>
          <w:color w:val="auto"/>
        </w:rPr>
        <w:lastRenderedPageBreak/>
        <w:t>7.0</w:t>
      </w:r>
      <w:r>
        <w:rPr>
          <w:rFonts w:ascii="Arial" w:hAnsi="Arial" w:cs="Arial"/>
          <w:b/>
          <w:color w:val="auto"/>
        </w:rPr>
        <w:tab/>
      </w:r>
      <w:r w:rsidR="004056A0">
        <w:rPr>
          <w:rFonts w:ascii="Arial" w:hAnsi="Arial" w:cs="Arial"/>
          <w:b/>
          <w:color w:val="auto"/>
        </w:rPr>
        <w:t>FORECAST ADJUSTMENTS FOR LARGE CUSTOMERS</w:t>
      </w:r>
      <w:bookmarkEnd w:id="384"/>
      <w:bookmarkEnd w:id="385"/>
      <w:bookmarkEnd w:id="386"/>
      <w:bookmarkEnd w:id="392"/>
    </w:p>
    <w:p w14:paraId="0E2E393C" w14:textId="77777777" w:rsidR="00B3054A" w:rsidRPr="00B3054A" w:rsidRDefault="00B3054A" w:rsidP="002D2723"/>
    <w:p w14:paraId="46795549" w14:textId="77777777" w:rsidR="004056A0" w:rsidRDefault="004056A0" w:rsidP="002D1734">
      <w:pPr>
        <w:jc w:val="both"/>
      </w:pPr>
    </w:p>
    <w:p w14:paraId="66BFA055" w14:textId="49F5E631" w:rsidR="004056A0" w:rsidRPr="002D2723" w:rsidRDefault="00650C60" w:rsidP="002D2723">
      <w:pPr>
        <w:spacing w:line="360" w:lineRule="auto"/>
        <w:jc w:val="both"/>
        <w:rPr>
          <w:b w:val="0"/>
          <w:bCs/>
        </w:rPr>
      </w:pPr>
      <w:r>
        <w:rPr>
          <w:b w:val="0"/>
          <w:bCs/>
        </w:rPr>
        <w:t xml:space="preserve">Budget 2025 </w:t>
      </w:r>
      <w:r w:rsidR="00370AAD">
        <w:rPr>
          <w:b w:val="0"/>
          <w:bCs/>
        </w:rPr>
        <w:t xml:space="preserve">continues to utilize the </w:t>
      </w:r>
      <w:r w:rsidR="00C158D2">
        <w:rPr>
          <w:b w:val="0"/>
          <w:bCs/>
        </w:rPr>
        <w:t xml:space="preserve">Load Realization Model developed </w:t>
      </w:r>
      <w:r w:rsidR="00A872A5">
        <w:rPr>
          <w:b w:val="0"/>
          <w:bCs/>
        </w:rPr>
        <w:t>for the 2023 IRP Update</w:t>
      </w:r>
      <w:r w:rsidR="00B530F3">
        <w:rPr>
          <w:b w:val="0"/>
          <w:bCs/>
        </w:rPr>
        <w:t xml:space="preserve">. </w:t>
      </w:r>
      <w:r w:rsidR="002770E3">
        <w:rPr>
          <w:b w:val="0"/>
          <w:bCs/>
        </w:rPr>
        <w:t xml:space="preserve">This model uses </w:t>
      </w:r>
      <w:r w:rsidR="004056A0" w:rsidRPr="002D2723">
        <w:rPr>
          <w:b w:val="0"/>
          <w:bCs/>
        </w:rPr>
        <w:t>a probabilistic approach to evaluate the range and likelihood of future potential outcomes of the load growth from new large</w:t>
      </w:r>
      <w:r w:rsidR="003E38D6">
        <w:rPr>
          <w:b w:val="0"/>
          <w:bCs/>
        </w:rPr>
        <w:t>-</w:t>
      </w:r>
      <w:r w:rsidR="00BB62DC">
        <w:rPr>
          <w:b w:val="0"/>
          <w:bCs/>
        </w:rPr>
        <w:t>load</w:t>
      </w:r>
      <w:r w:rsidR="004056A0" w:rsidRPr="002D2723">
        <w:rPr>
          <w:b w:val="0"/>
          <w:bCs/>
        </w:rPr>
        <w:t xml:space="preserve"> customers. The results of this approach support the external adjustment applied to the </w:t>
      </w:r>
      <w:r w:rsidR="00425D8D">
        <w:rPr>
          <w:b w:val="0"/>
          <w:bCs/>
        </w:rPr>
        <w:t>c</w:t>
      </w:r>
      <w:r w:rsidR="00425D8D" w:rsidRPr="002D2723">
        <w:rPr>
          <w:b w:val="0"/>
          <w:bCs/>
        </w:rPr>
        <w:t xml:space="preserve">ommercial </w:t>
      </w:r>
      <w:r w:rsidR="004056A0" w:rsidRPr="002D2723">
        <w:rPr>
          <w:b w:val="0"/>
          <w:bCs/>
        </w:rPr>
        <w:t xml:space="preserve">and </w:t>
      </w:r>
      <w:r w:rsidR="00425D8D">
        <w:rPr>
          <w:b w:val="0"/>
          <w:bCs/>
        </w:rPr>
        <w:t>i</w:t>
      </w:r>
      <w:r w:rsidR="004056A0" w:rsidRPr="002D2723">
        <w:rPr>
          <w:b w:val="0"/>
          <w:bCs/>
        </w:rPr>
        <w:t xml:space="preserve">ndustrial load and energy forecasts. This </w:t>
      </w:r>
      <w:r w:rsidR="00425D8D">
        <w:rPr>
          <w:b w:val="0"/>
          <w:bCs/>
        </w:rPr>
        <w:t>S</w:t>
      </w:r>
      <w:r w:rsidR="004056A0" w:rsidRPr="002D2723">
        <w:rPr>
          <w:b w:val="0"/>
          <w:bCs/>
        </w:rPr>
        <w:t xml:space="preserve">ection describes the methodology and assumptions behind the probabilistic approach that is used. </w:t>
      </w:r>
    </w:p>
    <w:p w14:paraId="6076C4BA" w14:textId="77777777" w:rsidR="004056A0" w:rsidRPr="002D2723" w:rsidRDefault="004056A0" w:rsidP="002D2723">
      <w:pPr>
        <w:spacing w:line="360" w:lineRule="auto"/>
        <w:jc w:val="both"/>
        <w:rPr>
          <w:b w:val="0"/>
          <w:bCs/>
        </w:rPr>
      </w:pPr>
    </w:p>
    <w:p w14:paraId="0EBE06CF" w14:textId="05B74595" w:rsidR="004056A0" w:rsidRPr="002D2723" w:rsidRDefault="00F76987" w:rsidP="002D2723">
      <w:pPr>
        <w:spacing w:line="360" w:lineRule="auto"/>
        <w:jc w:val="both"/>
        <w:rPr>
          <w:b w:val="0"/>
          <w:bCs/>
        </w:rPr>
      </w:pPr>
      <w:r>
        <w:rPr>
          <w:b w:val="0"/>
          <w:bCs/>
        </w:rPr>
        <w:t xml:space="preserve">As </w:t>
      </w:r>
      <w:r w:rsidR="004B658F">
        <w:rPr>
          <w:b w:val="0"/>
          <w:bCs/>
        </w:rPr>
        <w:t>i</w:t>
      </w:r>
      <w:r w:rsidR="004056A0" w:rsidRPr="002D2723">
        <w:rPr>
          <w:b w:val="0"/>
          <w:bCs/>
        </w:rPr>
        <w:t xml:space="preserve">n the 2023 IRP Update, </w:t>
      </w:r>
      <w:r w:rsidR="008C781F">
        <w:rPr>
          <w:b w:val="0"/>
          <w:bCs/>
        </w:rPr>
        <w:t>Budget 2025</w:t>
      </w:r>
      <w:r w:rsidR="004056A0" w:rsidRPr="002D2723">
        <w:rPr>
          <w:b w:val="0"/>
          <w:bCs/>
        </w:rPr>
        <w:t xml:space="preserve"> </w:t>
      </w:r>
      <w:r w:rsidR="001B5ECC">
        <w:rPr>
          <w:b w:val="0"/>
          <w:bCs/>
        </w:rPr>
        <w:t>includes</w:t>
      </w:r>
      <w:r w:rsidR="001B5ECC" w:rsidRPr="002D2723">
        <w:rPr>
          <w:b w:val="0"/>
          <w:bCs/>
        </w:rPr>
        <w:t xml:space="preserve"> </w:t>
      </w:r>
      <w:r w:rsidR="004056A0" w:rsidRPr="002D2723">
        <w:rPr>
          <w:b w:val="0"/>
          <w:bCs/>
        </w:rPr>
        <w:t>an external adjustment to its baseline</w:t>
      </w:r>
      <w:r w:rsidR="00BB62DC">
        <w:rPr>
          <w:b w:val="0"/>
          <w:bCs/>
        </w:rPr>
        <w:t>, organic</w:t>
      </w:r>
      <w:r w:rsidR="004056A0" w:rsidRPr="002D2723">
        <w:rPr>
          <w:b w:val="0"/>
          <w:bCs/>
        </w:rPr>
        <w:t xml:space="preserve"> forecast to account for the increased large load additions described herein. An external adjustment is needed for these loads since Georgia’s unprecedented economic development growth would not otherwise be captured in the historical trends underlying the baseline forecast. Georgia Power has made external adjustments for large new customers in the past. For example, the Company adjusted its forecast in the 2016 and 2019 IRPs to account for the addition of the Elba Island Liquified Natural Gas facility, which represented a completely new industry to the state. </w:t>
      </w:r>
    </w:p>
    <w:p w14:paraId="30A734E6" w14:textId="77777777" w:rsidR="004056A0" w:rsidRPr="002D2723" w:rsidRDefault="004056A0" w:rsidP="002D2723">
      <w:pPr>
        <w:spacing w:line="360" w:lineRule="auto"/>
        <w:jc w:val="both"/>
        <w:rPr>
          <w:b w:val="0"/>
          <w:bCs/>
        </w:rPr>
      </w:pPr>
    </w:p>
    <w:p w14:paraId="2B17F9DC" w14:textId="128DA105" w:rsidR="004056A0" w:rsidRPr="002D2723" w:rsidRDefault="004056A0" w:rsidP="002D2723">
      <w:pPr>
        <w:spacing w:line="360" w:lineRule="auto"/>
        <w:jc w:val="both"/>
        <w:rPr>
          <w:b w:val="0"/>
          <w:bCs/>
        </w:rPr>
      </w:pPr>
      <w:r w:rsidRPr="002D2723">
        <w:rPr>
          <w:b w:val="0"/>
          <w:bCs/>
        </w:rPr>
        <w:t xml:space="preserve">Notwithstanding prior large load external adjustments to the forecast, </w:t>
      </w:r>
      <w:r w:rsidR="00BB62DC">
        <w:rPr>
          <w:b w:val="0"/>
          <w:bCs/>
        </w:rPr>
        <w:t xml:space="preserve">prior to </w:t>
      </w:r>
      <w:r w:rsidR="00C653A2">
        <w:rPr>
          <w:b w:val="0"/>
          <w:bCs/>
        </w:rPr>
        <w:t xml:space="preserve">2023 IRP Update, </w:t>
      </w:r>
      <w:r w:rsidRPr="002D2723">
        <w:rPr>
          <w:b w:val="0"/>
          <w:bCs/>
        </w:rPr>
        <w:t xml:space="preserve">the Company </w:t>
      </w:r>
      <w:r w:rsidR="00C653A2" w:rsidRPr="002D2723">
        <w:rPr>
          <w:b w:val="0"/>
          <w:bCs/>
        </w:rPr>
        <w:t>ha</w:t>
      </w:r>
      <w:r w:rsidR="00C653A2">
        <w:rPr>
          <w:b w:val="0"/>
          <w:bCs/>
        </w:rPr>
        <w:t>d</w:t>
      </w:r>
      <w:r w:rsidR="00C653A2" w:rsidRPr="002D2723">
        <w:rPr>
          <w:b w:val="0"/>
          <w:bCs/>
        </w:rPr>
        <w:t xml:space="preserve"> </w:t>
      </w:r>
      <w:r w:rsidRPr="002D2723">
        <w:rPr>
          <w:b w:val="0"/>
          <w:bCs/>
        </w:rPr>
        <w:t>never seen such a significant number of new large customer projects materialize in such a short period of time. As a result, Georgia Power develop</w:t>
      </w:r>
      <w:r w:rsidR="00C653A2">
        <w:rPr>
          <w:b w:val="0"/>
          <w:bCs/>
        </w:rPr>
        <w:t>ed</w:t>
      </w:r>
      <w:r w:rsidRPr="002D2723">
        <w:rPr>
          <w:b w:val="0"/>
          <w:bCs/>
        </w:rPr>
        <w:t xml:space="preserve"> a way to estimate the impacts of these projects on its system while also addressing the inherent uncertainties around whether such projects will ultimately locate in Georgia, select Georgia Power as the electric service provider, and come online with the anticipated load. The probabilistic model Georgia Power developed to address these considerations</w:t>
      </w:r>
      <w:r w:rsidR="00C653A2">
        <w:rPr>
          <w:b w:val="0"/>
          <w:bCs/>
        </w:rPr>
        <w:t>, the Load Realization Model,</w:t>
      </w:r>
      <w:r w:rsidRPr="002D2723">
        <w:rPr>
          <w:b w:val="0"/>
          <w:bCs/>
        </w:rPr>
        <w:t xml:space="preserve"> is discussed in the section below.</w:t>
      </w:r>
    </w:p>
    <w:p w14:paraId="19C2F49C" w14:textId="35156F52" w:rsidR="00E47410" w:rsidRDefault="00E47410">
      <w:pPr>
        <w:spacing w:after="200" w:line="276" w:lineRule="auto"/>
        <w:jc w:val="left"/>
        <w:rPr>
          <w:rFonts w:eastAsiaTheme="majorEastAsia"/>
          <w:bCs/>
          <w:sz w:val="28"/>
          <w:szCs w:val="28"/>
        </w:rPr>
      </w:pPr>
      <w:bookmarkStart w:id="393" w:name="_Toc188257156"/>
      <w:bookmarkStart w:id="394" w:name="_Toc142468253"/>
      <w:r>
        <w:rPr>
          <w:rFonts w:eastAsiaTheme="majorEastAsia"/>
          <w:bCs/>
          <w:sz w:val="28"/>
          <w:szCs w:val="28"/>
        </w:rPr>
        <w:br w:type="page"/>
      </w:r>
    </w:p>
    <w:p w14:paraId="25351CDB" w14:textId="17F1291D" w:rsidR="004056A0" w:rsidRPr="002D2723" w:rsidRDefault="00B3054A" w:rsidP="002D2723">
      <w:pPr>
        <w:pStyle w:val="Heading1"/>
        <w:jc w:val="left"/>
        <w:rPr>
          <w:rFonts w:ascii="Arial" w:hAnsi="Arial" w:cs="Arial"/>
          <w:b/>
          <w:color w:val="auto"/>
        </w:rPr>
      </w:pPr>
      <w:bookmarkStart w:id="395" w:name="_Toc188257371"/>
      <w:bookmarkStart w:id="396" w:name="_Toc188257595"/>
      <w:bookmarkStart w:id="397" w:name="_Toc189162604"/>
      <w:r w:rsidRPr="002D2723">
        <w:rPr>
          <w:rFonts w:ascii="Arial" w:hAnsi="Arial" w:cs="Arial"/>
          <w:b/>
          <w:color w:val="auto"/>
        </w:rPr>
        <w:lastRenderedPageBreak/>
        <w:t>7</w:t>
      </w:r>
      <w:r w:rsidR="004056A0" w:rsidRPr="002D2723">
        <w:rPr>
          <w:rFonts w:ascii="Arial" w:hAnsi="Arial" w:cs="Arial"/>
          <w:b/>
          <w:color w:val="auto"/>
        </w:rPr>
        <w:t>.1</w:t>
      </w:r>
      <w:r w:rsidR="004056A0" w:rsidRPr="002D2723">
        <w:rPr>
          <w:rFonts w:ascii="Arial" w:hAnsi="Arial" w:cs="Arial"/>
          <w:b/>
          <w:color w:val="auto"/>
        </w:rPr>
        <w:tab/>
        <w:t>MODEL OVERVIEW</w:t>
      </w:r>
      <w:bookmarkEnd w:id="393"/>
      <w:bookmarkEnd w:id="395"/>
      <w:bookmarkEnd w:id="396"/>
      <w:bookmarkEnd w:id="397"/>
    </w:p>
    <w:p w14:paraId="2F2AD072" w14:textId="77777777" w:rsidR="00E345A0" w:rsidRDefault="00E345A0" w:rsidP="00FC4B95">
      <w:pPr>
        <w:spacing w:after="240"/>
        <w:jc w:val="left"/>
      </w:pPr>
    </w:p>
    <w:p w14:paraId="01A0BD2D" w14:textId="7C2B961D" w:rsidR="004056A0" w:rsidRDefault="00B3054A" w:rsidP="00EF64C3">
      <w:pPr>
        <w:pStyle w:val="Heading2"/>
        <w:jc w:val="left"/>
        <w:rPr>
          <w:rFonts w:ascii="Arial" w:hAnsi="Arial" w:cs="Arial"/>
          <w:b/>
          <w:color w:val="auto"/>
          <w:sz w:val="20"/>
          <w:szCs w:val="20"/>
        </w:rPr>
      </w:pPr>
      <w:bookmarkStart w:id="398" w:name="_Toc188257157"/>
      <w:bookmarkStart w:id="399" w:name="_Toc188257372"/>
      <w:bookmarkStart w:id="400" w:name="_Toc188257596"/>
      <w:bookmarkStart w:id="401" w:name="_Toc189162605"/>
      <w:r w:rsidRPr="00E345A0">
        <w:rPr>
          <w:rFonts w:ascii="Arial" w:hAnsi="Arial" w:cs="Arial"/>
          <w:b/>
          <w:color w:val="auto"/>
          <w:sz w:val="20"/>
          <w:szCs w:val="20"/>
        </w:rPr>
        <w:t>7</w:t>
      </w:r>
      <w:r w:rsidR="004056A0" w:rsidRPr="00E345A0">
        <w:rPr>
          <w:rFonts w:ascii="Arial" w:hAnsi="Arial" w:cs="Arial"/>
          <w:b/>
          <w:color w:val="auto"/>
          <w:sz w:val="20"/>
          <w:szCs w:val="20"/>
        </w:rPr>
        <w:t>.1.1</w:t>
      </w:r>
      <w:r w:rsidR="0050294C" w:rsidRPr="00E345A0">
        <w:rPr>
          <w:rFonts w:ascii="Arial" w:hAnsi="Arial" w:cs="Arial"/>
          <w:b/>
          <w:color w:val="auto"/>
          <w:sz w:val="20"/>
          <w:szCs w:val="20"/>
        </w:rPr>
        <w:tab/>
      </w:r>
      <w:r w:rsidR="004056A0" w:rsidRPr="00E345A0">
        <w:rPr>
          <w:rFonts w:ascii="Arial" w:hAnsi="Arial" w:cs="Arial"/>
          <w:b/>
          <w:color w:val="auto"/>
          <w:sz w:val="20"/>
          <w:szCs w:val="20"/>
        </w:rPr>
        <w:t>Known Project Inputs</w:t>
      </w:r>
      <w:bookmarkEnd w:id="398"/>
      <w:bookmarkEnd w:id="399"/>
      <w:bookmarkEnd w:id="400"/>
      <w:bookmarkEnd w:id="401"/>
    </w:p>
    <w:p w14:paraId="43298B7F" w14:textId="77777777" w:rsidR="00EF64C3" w:rsidRPr="00EF64C3" w:rsidRDefault="00EF64C3" w:rsidP="00EF64C3"/>
    <w:p w14:paraId="0E8622FE" w14:textId="6289C720" w:rsidR="004056A0" w:rsidRPr="002D2723" w:rsidRDefault="004056A0" w:rsidP="002D2723">
      <w:pPr>
        <w:keepNext/>
        <w:keepLines/>
        <w:spacing w:after="240" w:line="360" w:lineRule="auto"/>
        <w:jc w:val="both"/>
        <w:rPr>
          <w:b w:val="0"/>
          <w:bCs/>
        </w:rPr>
      </w:pPr>
      <w:r w:rsidRPr="002D2723">
        <w:rPr>
          <w:b w:val="0"/>
          <w:bCs/>
        </w:rPr>
        <w:t>For each large load project</w:t>
      </w:r>
      <w:r w:rsidRPr="002D2723" w:rsidDel="00042AE0">
        <w:rPr>
          <w:b w:val="0"/>
          <w:bCs/>
        </w:rPr>
        <w:t xml:space="preserve"> </w:t>
      </w:r>
      <w:r w:rsidRPr="002D2723">
        <w:rPr>
          <w:b w:val="0"/>
          <w:bCs/>
        </w:rPr>
        <w:t xml:space="preserve">the Company has evaluated and included in </w:t>
      </w:r>
      <w:r w:rsidR="002A310F">
        <w:rPr>
          <w:b w:val="0"/>
          <w:bCs/>
        </w:rPr>
        <w:t>Budget 2025</w:t>
      </w:r>
      <w:r w:rsidRPr="002D2723">
        <w:rPr>
          <w:b w:val="0"/>
          <w:bCs/>
        </w:rPr>
        <w:t>, the following information is provided:</w:t>
      </w:r>
    </w:p>
    <w:p w14:paraId="4AF9343A" w14:textId="1E2E8314" w:rsidR="004056A0" w:rsidRPr="002D2723" w:rsidRDefault="004056A0" w:rsidP="002D2723">
      <w:pPr>
        <w:keepNext/>
        <w:keepLines/>
        <w:tabs>
          <w:tab w:val="left" w:pos="720"/>
        </w:tabs>
        <w:spacing w:line="360" w:lineRule="auto"/>
        <w:ind w:left="720" w:hanging="360"/>
        <w:jc w:val="both"/>
        <w:rPr>
          <w:b w:val="0"/>
          <w:bCs/>
        </w:rPr>
      </w:pPr>
      <w:r w:rsidRPr="002D2723">
        <w:rPr>
          <w:b w:val="0"/>
          <w:bCs/>
        </w:rPr>
        <w:t>•</w:t>
      </w:r>
      <w:r w:rsidRPr="002D2723">
        <w:rPr>
          <w:b w:val="0"/>
          <w:bCs/>
        </w:rPr>
        <w:tab/>
      </w:r>
      <w:r w:rsidRPr="002D2723">
        <w:t>Commercial Operation Date</w:t>
      </w:r>
      <w:r w:rsidR="009C5996">
        <w:t xml:space="preserve"> (</w:t>
      </w:r>
      <w:r w:rsidR="001A0B22">
        <w:t>“COD”)</w:t>
      </w:r>
      <w:r w:rsidRPr="002D2723">
        <w:rPr>
          <w:b w:val="0"/>
          <w:bCs/>
        </w:rPr>
        <w:t>: When the initial load is expected to start.</w:t>
      </w:r>
    </w:p>
    <w:p w14:paraId="55558520" w14:textId="77777777" w:rsidR="004056A0" w:rsidRPr="002D2723" w:rsidRDefault="004056A0" w:rsidP="002D2723">
      <w:pPr>
        <w:keepNext/>
        <w:keepLines/>
        <w:tabs>
          <w:tab w:val="left" w:pos="720"/>
        </w:tabs>
        <w:spacing w:line="360" w:lineRule="auto"/>
        <w:ind w:left="720" w:hanging="360"/>
        <w:jc w:val="both"/>
        <w:rPr>
          <w:b w:val="0"/>
          <w:bCs/>
        </w:rPr>
      </w:pPr>
      <w:r w:rsidRPr="002D2723">
        <w:rPr>
          <w:b w:val="0"/>
          <w:bCs/>
        </w:rPr>
        <w:t>•</w:t>
      </w:r>
      <w:r w:rsidRPr="002D2723">
        <w:rPr>
          <w:b w:val="0"/>
          <w:bCs/>
        </w:rPr>
        <w:tab/>
      </w:r>
      <w:r w:rsidRPr="002D2723">
        <w:t>Ramp-Up</w:t>
      </w:r>
      <w:r w:rsidRPr="002D2723">
        <w:rPr>
          <w:b w:val="0"/>
          <w:bCs/>
        </w:rPr>
        <w:t>: A year-by-year load trajectory.</w:t>
      </w:r>
    </w:p>
    <w:p w14:paraId="4CE0FBEF" w14:textId="77777777" w:rsidR="004056A0" w:rsidRPr="002D2723" w:rsidRDefault="004056A0" w:rsidP="002D2723">
      <w:pPr>
        <w:keepNext/>
        <w:keepLines/>
        <w:tabs>
          <w:tab w:val="left" w:pos="720"/>
        </w:tabs>
        <w:spacing w:line="360" w:lineRule="auto"/>
        <w:ind w:left="720" w:hanging="360"/>
        <w:jc w:val="both"/>
        <w:rPr>
          <w:b w:val="0"/>
          <w:bCs/>
        </w:rPr>
      </w:pPr>
      <w:r w:rsidRPr="002D2723">
        <w:rPr>
          <w:b w:val="0"/>
          <w:bCs/>
        </w:rPr>
        <w:t>•</w:t>
      </w:r>
      <w:r w:rsidRPr="002D2723">
        <w:rPr>
          <w:b w:val="0"/>
          <w:bCs/>
        </w:rPr>
        <w:tab/>
      </w:r>
      <w:r w:rsidRPr="002D2723">
        <w:t>Announced Load</w:t>
      </w:r>
      <w:r w:rsidRPr="002D2723">
        <w:rPr>
          <w:b w:val="0"/>
          <w:bCs/>
        </w:rPr>
        <w:t xml:space="preserve">: The design capacity for the project load. This corresponds to the maximum load of the ramp-up schedule provided by each customer. The Company’s Power Delivery organization uses this information </w:t>
      </w:r>
      <w:r w:rsidRPr="002D2723">
        <w:rPr>
          <w:rStyle w:val="cf01"/>
          <w:rFonts w:ascii="Arial" w:hAnsi="Arial" w:cs="Arial"/>
          <w:b w:val="0"/>
          <w:bCs/>
          <w:sz w:val="20"/>
          <w:szCs w:val="20"/>
        </w:rPr>
        <w:t>to properly size the facilities and purchase equipment to serve the new load.</w:t>
      </w:r>
      <w:r w:rsidRPr="002D2723">
        <w:rPr>
          <w:b w:val="0"/>
          <w:bCs/>
        </w:rPr>
        <w:t xml:space="preserve"> </w:t>
      </w:r>
    </w:p>
    <w:p w14:paraId="6E2DDB76" w14:textId="63D5D6DD" w:rsidR="004056A0" w:rsidRPr="002D2723" w:rsidRDefault="004056A0" w:rsidP="002D2723">
      <w:pPr>
        <w:keepNext/>
        <w:keepLines/>
        <w:tabs>
          <w:tab w:val="left" w:pos="720"/>
        </w:tabs>
        <w:spacing w:line="360" w:lineRule="auto"/>
        <w:ind w:left="720" w:hanging="360"/>
        <w:jc w:val="both"/>
        <w:rPr>
          <w:b w:val="0"/>
          <w:bCs/>
        </w:rPr>
      </w:pPr>
      <w:r w:rsidRPr="002D2723">
        <w:rPr>
          <w:b w:val="0"/>
          <w:bCs/>
        </w:rPr>
        <w:t>•</w:t>
      </w:r>
      <w:r w:rsidRPr="002D2723">
        <w:rPr>
          <w:b w:val="0"/>
          <w:bCs/>
        </w:rPr>
        <w:tab/>
      </w:r>
      <w:r w:rsidRPr="002D2723">
        <w:t>Class</w:t>
      </w:r>
      <w:r w:rsidRPr="002D2723">
        <w:rPr>
          <w:b w:val="0"/>
          <w:bCs/>
        </w:rPr>
        <w:t xml:space="preserve">: Industrial or </w:t>
      </w:r>
      <w:r w:rsidR="00C653A2">
        <w:rPr>
          <w:b w:val="0"/>
          <w:bCs/>
        </w:rPr>
        <w:t>c</w:t>
      </w:r>
      <w:r w:rsidR="00C653A2" w:rsidRPr="002D2723">
        <w:rPr>
          <w:b w:val="0"/>
          <w:bCs/>
        </w:rPr>
        <w:t>ommercial</w:t>
      </w:r>
      <w:r w:rsidRPr="002D2723">
        <w:rPr>
          <w:b w:val="0"/>
          <w:bCs/>
        </w:rPr>
        <w:t>.</w:t>
      </w:r>
    </w:p>
    <w:p w14:paraId="70491D53" w14:textId="77777777" w:rsidR="004056A0" w:rsidRPr="002D2723" w:rsidRDefault="004056A0" w:rsidP="002D1734">
      <w:pPr>
        <w:keepNext/>
        <w:keepLines/>
        <w:tabs>
          <w:tab w:val="left" w:pos="720"/>
        </w:tabs>
        <w:spacing w:line="360" w:lineRule="auto"/>
        <w:ind w:left="720" w:hanging="360"/>
        <w:jc w:val="both"/>
        <w:rPr>
          <w:b w:val="0"/>
          <w:bCs/>
        </w:rPr>
      </w:pPr>
      <w:r w:rsidRPr="002D2723">
        <w:rPr>
          <w:b w:val="0"/>
          <w:bCs/>
        </w:rPr>
        <w:t>•</w:t>
      </w:r>
      <w:r w:rsidRPr="002D2723">
        <w:rPr>
          <w:b w:val="0"/>
          <w:bCs/>
        </w:rPr>
        <w:tab/>
      </w:r>
      <w:r w:rsidRPr="002D2723">
        <w:t>Segment</w:t>
      </w:r>
      <w:r w:rsidRPr="002D2723">
        <w:rPr>
          <w:b w:val="0"/>
          <w:bCs/>
        </w:rPr>
        <w:t>: This criterion corresponds to the particular segment of a business within a customer class, such as cryptocurrency, datacenter, warehouse, battery manufacturing, chemicals, and solar.</w:t>
      </w:r>
    </w:p>
    <w:p w14:paraId="2DE0042F" w14:textId="77777777" w:rsidR="00B3054A" w:rsidRPr="00E832A5" w:rsidRDefault="00B3054A" w:rsidP="002D2723">
      <w:pPr>
        <w:keepNext/>
        <w:keepLines/>
        <w:tabs>
          <w:tab w:val="left" w:pos="720"/>
        </w:tabs>
        <w:spacing w:line="360" w:lineRule="auto"/>
        <w:ind w:left="720" w:hanging="360"/>
        <w:jc w:val="both"/>
        <w:rPr>
          <w:rFonts w:asciiTheme="minorHAnsi" w:hAnsiTheme="minorHAnsi" w:cstheme="minorHAnsi"/>
        </w:rPr>
      </w:pPr>
    </w:p>
    <w:p w14:paraId="3FF6E2E0" w14:textId="0A775789" w:rsidR="004056A0" w:rsidRPr="00E345A0" w:rsidRDefault="00B3054A" w:rsidP="00E345A0">
      <w:pPr>
        <w:pStyle w:val="Heading2"/>
        <w:jc w:val="left"/>
        <w:rPr>
          <w:rFonts w:ascii="Arial" w:hAnsi="Arial" w:cs="Arial"/>
          <w:b/>
          <w:color w:val="auto"/>
          <w:sz w:val="20"/>
          <w:szCs w:val="20"/>
        </w:rPr>
      </w:pPr>
      <w:bookmarkStart w:id="402" w:name="_Toc188257158"/>
      <w:bookmarkStart w:id="403" w:name="_Toc188257373"/>
      <w:bookmarkStart w:id="404" w:name="_Toc188257597"/>
      <w:bookmarkStart w:id="405" w:name="_Toc189162606"/>
      <w:r w:rsidRPr="00E345A0">
        <w:rPr>
          <w:rFonts w:ascii="Arial" w:hAnsi="Arial" w:cs="Arial"/>
          <w:b/>
          <w:color w:val="auto"/>
          <w:sz w:val="20"/>
          <w:szCs w:val="20"/>
        </w:rPr>
        <w:t>7.</w:t>
      </w:r>
      <w:r w:rsidR="004056A0" w:rsidRPr="00E345A0">
        <w:rPr>
          <w:rFonts w:ascii="Arial" w:hAnsi="Arial" w:cs="Arial"/>
          <w:b/>
          <w:color w:val="auto"/>
          <w:sz w:val="20"/>
          <w:szCs w:val="20"/>
        </w:rPr>
        <w:t>1.2</w:t>
      </w:r>
      <w:r w:rsidR="00E5644A" w:rsidRPr="00E345A0">
        <w:rPr>
          <w:rFonts w:ascii="Arial" w:hAnsi="Arial" w:cs="Arial"/>
          <w:b/>
          <w:color w:val="auto"/>
          <w:sz w:val="20"/>
          <w:szCs w:val="20"/>
        </w:rPr>
        <w:tab/>
      </w:r>
      <w:r w:rsidR="004056A0" w:rsidRPr="00E345A0">
        <w:rPr>
          <w:rFonts w:ascii="Arial" w:hAnsi="Arial" w:cs="Arial"/>
          <w:b/>
          <w:color w:val="auto"/>
          <w:sz w:val="20"/>
          <w:szCs w:val="20"/>
        </w:rPr>
        <w:t>Modeling Project Uncertainty</w:t>
      </w:r>
      <w:bookmarkEnd w:id="402"/>
      <w:bookmarkEnd w:id="403"/>
      <w:bookmarkEnd w:id="404"/>
      <w:bookmarkEnd w:id="405"/>
    </w:p>
    <w:p w14:paraId="231F1C84" w14:textId="77777777" w:rsidR="00B3054A" w:rsidRPr="002D2723" w:rsidRDefault="00B3054A" w:rsidP="002D2723"/>
    <w:p w14:paraId="501BA956" w14:textId="6D6279B4" w:rsidR="004056A0" w:rsidRPr="002D2723" w:rsidRDefault="004056A0" w:rsidP="00725952">
      <w:pPr>
        <w:spacing w:line="360" w:lineRule="auto"/>
        <w:jc w:val="both"/>
        <w:rPr>
          <w:b w:val="0"/>
          <w:bCs/>
        </w:rPr>
      </w:pPr>
      <w:r w:rsidRPr="002D2723">
        <w:rPr>
          <w:b w:val="0"/>
          <w:bCs/>
        </w:rPr>
        <w:t>Each</w:t>
      </w:r>
      <w:r w:rsidRPr="002D2723" w:rsidDel="00964D3F">
        <w:rPr>
          <w:b w:val="0"/>
          <w:bCs/>
        </w:rPr>
        <w:t xml:space="preserve"> </w:t>
      </w:r>
      <w:r w:rsidRPr="002D2723">
        <w:rPr>
          <w:b w:val="0"/>
          <w:bCs/>
        </w:rPr>
        <w:t>large load project contains multiple dimensions of uncertainty that must be considered and analyzed. The first element of uncertainty to consider is whether the potential customers will choose to locate in</w:t>
      </w:r>
      <w:r w:rsidRPr="002D2723" w:rsidDel="00E86F1E">
        <w:rPr>
          <w:b w:val="0"/>
          <w:bCs/>
        </w:rPr>
        <w:t xml:space="preserve"> </w:t>
      </w:r>
      <w:r w:rsidRPr="002D2723">
        <w:rPr>
          <w:b w:val="0"/>
          <w:bCs/>
        </w:rPr>
        <w:t xml:space="preserve">Georgia. A customer may ultimately end up choosing a different state as the location of a project despite initial indications of interest in Georgia. If a large load customer elects to locate in Georgia, there is still uncertainty due to the competitive nature of the bidding process for large load customers among electric service providers in the state, and a customer may choose an electric service provider other than Georgia Power. There is even some uncertainty once a customer selects Georgia Power as its electric service provider, as the project could fail to materialize due to unforeseen circumstances such as financial or other economic conditions. In addition, based on Georgia Power’s experience, the load announced by a customer is only an estimate of its metered load, which can materialize at a lower level than that at the time of the customer’s initial announcement. Finally, the commercial operation date of a project can be delayed, thus causing load to materialize later than initially expected. Figure </w:t>
      </w:r>
      <w:r w:rsidR="00D14344">
        <w:rPr>
          <w:b w:val="0"/>
          <w:bCs/>
        </w:rPr>
        <w:t>7.</w:t>
      </w:r>
      <w:r>
        <w:rPr>
          <w:b w:val="0"/>
        </w:rPr>
        <w:t>1</w:t>
      </w:r>
      <w:r w:rsidR="002D0F98">
        <w:rPr>
          <w:b w:val="0"/>
          <w:bCs/>
        </w:rPr>
        <w:t>.2</w:t>
      </w:r>
      <w:r w:rsidR="00F55111">
        <w:rPr>
          <w:b w:val="0"/>
          <w:bCs/>
        </w:rPr>
        <w:t>-1</w:t>
      </w:r>
      <w:r w:rsidRPr="002D2723">
        <w:rPr>
          <w:b w:val="0"/>
          <w:bCs/>
        </w:rPr>
        <w:t xml:space="preserve"> below illustrates the Company’s process and sequencing for the evaluation of uncertainties related to large load projects.</w:t>
      </w:r>
    </w:p>
    <w:p w14:paraId="7C3A4CFE" w14:textId="77777777" w:rsidR="004056A0" w:rsidRPr="00E832A5" w:rsidRDefault="004056A0" w:rsidP="004056A0">
      <w:pPr>
        <w:spacing w:line="276" w:lineRule="auto"/>
        <w:jc w:val="both"/>
        <w:rPr>
          <w:rFonts w:asciiTheme="minorHAnsi" w:hAnsiTheme="minorHAnsi" w:cstheme="minorHAnsi"/>
          <w:sz w:val="22"/>
          <w:szCs w:val="22"/>
        </w:rPr>
      </w:pPr>
    </w:p>
    <w:p w14:paraId="63A89F96" w14:textId="2B9ABE81" w:rsidR="004056A0" w:rsidRPr="00E832A5" w:rsidRDefault="004056A0" w:rsidP="004056A0">
      <w:pPr>
        <w:keepNext/>
        <w:spacing w:after="240" w:line="276" w:lineRule="auto"/>
        <w:rPr>
          <w:rFonts w:asciiTheme="minorHAnsi" w:hAnsiTheme="minorHAnsi" w:cstheme="minorHAnsi"/>
          <w:b w:val="0"/>
          <w:sz w:val="22"/>
          <w:szCs w:val="22"/>
        </w:rPr>
      </w:pPr>
      <w:r w:rsidRPr="00E832A5">
        <w:rPr>
          <w:rFonts w:asciiTheme="minorHAnsi" w:hAnsiTheme="minorHAnsi" w:cstheme="minorHAnsi"/>
          <w:sz w:val="22"/>
          <w:szCs w:val="22"/>
        </w:rPr>
        <w:lastRenderedPageBreak/>
        <w:t xml:space="preserve">Figure </w:t>
      </w:r>
      <w:r w:rsidR="00B3054A">
        <w:rPr>
          <w:rFonts w:asciiTheme="minorHAnsi" w:hAnsiTheme="minorHAnsi" w:cstheme="minorHAnsi"/>
          <w:bCs/>
          <w:sz w:val="22"/>
          <w:szCs w:val="22"/>
        </w:rPr>
        <w:t>7</w:t>
      </w:r>
      <w:r w:rsidRPr="00E832A5">
        <w:rPr>
          <w:rFonts w:asciiTheme="minorHAnsi" w:hAnsiTheme="minorHAnsi" w:cstheme="minorHAnsi"/>
          <w:sz w:val="22"/>
          <w:szCs w:val="22"/>
        </w:rPr>
        <w:t>.1.2-1: Sequencing of Large Load and Sources of Uncertainty</w:t>
      </w:r>
    </w:p>
    <w:p w14:paraId="56FF2C4F" w14:textId="77777777" w:rsidR="004056A0" w:rsidRPr="00E832A5" w:rsidRDefault="004056A0" w:rsidP="004056A0">
      <w:pPr>
        <w:keepNext/>
        <w:spacing w:line="276" w:lineRule="auto"/>
        <w:rPr>
          <w:rFonts w:asciiTheme="minorHAnsi" w:hAnsiTheme="minorHAnsi" w:cstheme="minorHAnsi"/>
          <w:sz w:val="22"/>
          <w:szCs w:val="22"/>
        </w:rPr>
      </w:pPr>
    </w:p>
    <w:p w14:paraId="1653C558" w14:textId="77777777" w:rsidR="004056A0" w:rsidRPr="00B20D17" w:rsidRDefault="004056A0" w:rsidP="004056A0">
      <w:pPr>
        <w:spacing w:line="276" w:lineRule="auto"/>
        <w:jc w:val="both"/>
        <w:rPr>
          <w:rFonts w:asciiTheme="minorHAnsi" w:hAnsiTheme="minorHAnsi" w:cstheme="minorHAnsi"/>
        </w:rPr>
      </w:pPr>
      <w:r>
        <w:rPr>
          <w:rFonts w:asciiTheme="minorHAnsi" w:hAnsiTheme="minorHAnsi" w:cstheme="minorHAnsi"/>
          <w:noProof/>
        </w:rPr>
        <w:drawing>
          <wp:inline distT="0" distB="0" distL="0" distR="0" wp14:anchorId="00C5F2AB" wp14:editId="44FB28D7">
            <wp:extent cx="5943600" cy="2643505"/>
            <wp:effectExtent l="0" t="0" r="0" b="4445"/>
            <wp:docPr id="498336761" name="Picture 498336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336761" name="Picture 498336761"/>
                    <pic:cNvPicPr/>
                  </pic:nvPicPr>
                  <pic:blipFill>
                    <a:blip r:embed="rId102">
                      <a:extLst>
                        <a:ext uri="{28A0092B-C50C-407E-A947-70E740481C1C}">
                          <a14:useLocalDpi xmlns:a14="http://schemas.microsoft.com/office/drawing/2010/main" val="0"/>
                        </a:ext>
                      </a:extLst>
                    </a:blip>
                    <a:stretch>
                      <a:fillRect/>
                    </a:stretch>
                  </pic:blipFill>
                  <pic:spPr>
                    <a:xfrm>
                      <a:off x="0" y="0"/>
                      <a:ext cx="5943600" cy="2643505"/>
                    </a:xfrm>
                    <a:prstGeom prst="rect">
                      <a:avLst/>
                    </a:prstGeom>
                  </pic:spPr>
                </pic:pic>
              </a:graphicData>
            </a:graphic>
          </wp:inline>
        </w:drawing>
      </w:r>
    </w:p>
    <w:p w14:paraId="196B59B6" w14:textId="77777777" w:rsidR="00B3054A" w:rsidRDefault="00B3054A" w:rsidP="004F6648">
      <w:pPr>
        <w:spacing w:line="276" w:lineRule="auto"/>
        <w:jc w:val="left"/>
      </w:pPr>
    </w:p>
    <w:p w14:paraId="26C67100" w14:textId="1D246CB7" w:rsidR="004056A0" w:rsidRPr="00E345A0" w:rsidRDefault="00B3054A" w:rsidP="00E345A0">
      <w:pPr>
        <w:pStyle w:val="Heading2"/>
        <w:jc w:val="left"/>
        <w:rPr>
          <w:rFonts w:ascii="Arial" w:hAnsi="Arial" w:cs="Arial"/>
          <w:b/>
          <w:color w:val="auto"/>
          <w:sz w:val="20"/>
          <w:szCs w:val="20"/>
        </w:rPr>
      </w:pPr>
      <w:bookmarkStart w:id="406" w:name="_Toc188257159"/>
      <w:bookmarkStart w:id="407" w:name="_Toc188257374"/>
      <w:bookmarkStart w:id="408" w:name="_Toc188257598"/>
      <w:bookmarkStart w:id="409" w:name="_Toc189162607"/>
      <w:r w:rsidRPr="00E345A0">
        <w:rPr>
          <w:rFonts w:ascii="Arial" w:hAnsi="Arial" w:cs="Arial"/>
          <w:b/>
          <w:color w:val="auto"/>
          <w:sz w:val="20"/>
          <w:szCs w:val="20"/>
        </w:rPr>
        <w:t>7</w:t>
      </w:r>
      <w:r w:rsidR="004056A0" w:rsidRPr="00E345A0">
        <w:rPr>
          <w:rFonts w:ascii="Arial" w:hAnsi="Arial" w:cs="Arial"/>
          <w:b/>
          <w:color w:val="auto"/>
          <w:sz w:val="20"/>
          <w:szCs w:val="20"/>
        </w:rPr>
        <w:t>.1.3</w:t>
      </w:r>
      <w:r w:rsidR="004056A0" w:rsidRPr="00E345A0">
        <w:rPr>
          <w:rFonts w:ascii="Arial" w:hAnsi="Arial" w:cs="Arial"/>
          <w:b/>
          <w:color w:val="auto"/>
          <w:sz w:val="20"/>
          <w:szCs w:val="20"/>
        </w:rPr>
        <w:tab/>
        <w:t>Project Success</w:t>
      </w:r>
      <w:bookmarkEnd w:id="406"/>
      <w:bookmarkEnd w:id="407"/>
      <w:bookmarkEnd w:id="408"/>
      <w:bookmarkEnd w:id="409"/>
    </w:p>
    <w:p w14:paraId="4A73424E" w14:textId="77777777" w:rsidR="00B3054A" w:rsidRPr="0058663C" w:rsidRDefault="00B3054A" w:rsidP="0058663C"/>
    <w:p w14:paraId="25E9D109" w14:textId="77777777" w:rsidR="004056A0" w:rsidRPr="0058663C" w:rsidRDefault="004056A0" w:rsidP="0058663C">
      <w:pPr>
        <w:spacing w:line="360" w:lineRule="auto"/>
        <w:jc w:val="both"/>
        <w:rPr>
          <w:b w:val="0"/>
        </w:rPr>
      </w:pPr>
      <w:r w:rsidRPr="0058663C">
        <w:rPr>
          <w:b w:val="0"/>
        </w:rPr>
        <w:t>The Company uses a probabilistic approach to account for the uncertainties described in the previous section to determine the likelihood of success or failure of an individual project. The success of a project requires each of the following three events:</w:t>
      </w:r>
    </w:p>
    <w:p w14:paraId="16051D6A" w14:textId="77777777" w:rsidR="004056A0" w:rsidRPr="00E832A5" w:rsidRDefault="004056A0" w:rsidP="0058663C">
      <w:pPr>
        <w:spacing w:line="360" w:lineRule="auto"/>
        <w:jc w:val="both"/>
        <w:rPr>
          <w:rFonts w:asciiTheme="minorHAnsi" w:hAnsiTheme="minorHAnsi" w:cstheme="minorHAnsi"/>
          <w:sz w:val="22"/>
          <w:szCs w:val="22"/>
        </w:rPr>
      </w:pPr>
    </w:p>
    <w:p w14:paraId="5D46287F" w14:textId="77777777" w:rsidR="004056A0" w:rsidRPr="0058663C" w:rsidRDefault="004056A0" w:rsidP="0058663C">
      <w:pPr>
        <w:pStyle w:val="ListParagraph"/>
        <w:numPr>
          <w:ilvl w:val="0"/>
          <w:numId w:val="19"/>
        </w:numPr>
        <w:spacing w:line="360" w:lineRule="auto"/>
        <w:jc w:val="both"/>
        <w:rPr>
          <w:rFonts w:ascii="Arial" w:hAnsi="Arial" w:cs="Arial"/>
          <w:sz w:val="20"/>
          <w:szCs w:val="20"/>
        </w:rPr>
      </w:pPr>
      <w:r w:rsidRPr="0058663C">
        <w:rPr>
          <w:rFonts w:ascii="Arial" w:hAnsi="Arial" w:cs="Arial"/>
          <w:sz w:val="20"/>
          <w:szCs w:val="20"/>
        </w:rPr>
        <w:t xml:space="preserve">Georgia is chosen as the location of the project. </w:t>
      </w:r>
    </w:p>
    <w:p w14:paraId="678C8ACB" w14:textId="77777777" w:rsidR="004056A0" w:rsidRPr="0058663C" w:rsidRDefault="004056A0" w:rsidP="0058663C">
      <w:pPr>
        <w:pStyle w:val="ListParagraph"/>
        <w:numPr>
          <w:ilvl w:val="0"/>
          <w:numId w:val="19"/>
        </w:numPr>
        <w:spacing w:line="360" w:lineRule="auto"/>
        <w:jc w:val="both"/>
        <w:rPr>
          <w:rFonts w:ascii="Arial" w:hAnsi="Arial" w:cs="Arial"/>
          <w:sz w:val="20"/>
          <w:szCs w:val="20"/>
        </w:rPr>
      </w:pPr>
      <w:r w:rsidRPr="0058663C">
        <w:rPr>
          <w:rFonts w:ascii="Arial" w:hAnsi="Arial" w:cs="Arial"/>
          <w:sz w:val="20"/>
          <w:szCs w:val="20"/>
        </w:rPr>
        <w:t xml:space="preserve">Georgia Power is chosen as the electric service provider for the project. </w:t>
      </w:r>
    </w:p>
    <w:p w14:paraId="15B574DA" w14:textId="77777777" w:rsidR="004056A0" w:rsidRPr="0058663C" w:rsidRDefault="004056A0" w:rsidP="007F44DD">
      <w:pPr>
        <w:pStyle w:val="ListParagraph"/>
        <w:numPr>
          <w:ilvl w:val="0"/>
          <w:numId w:val="19"/>
        </w:numPr>
        <w:spacing w:after="0" w:line="360" w:lineRule="auto"/>
        <w:jc w:val="both"/>
        <w:rPr>
          <w:rFonts w:ascii="Arial" w:hAnsi="Arial" w:cs="Arial"/>
          <w:sz w:val="20"/>
          <w:szCs w:val="20"/>
        </w:rPr>
      </w:pPr>
      <w:r w:rsidRPr="0058663C">
        <w:rPr>
          <w:rFonts w:ascii="Arial" w:hAnsi="Arial" w:cs="Arial"/>
          <w:sz w:val="20"/>
          <w:szCs w:val="20"/>
        </w:rPr>
        <w:t>The project reaches commercial operation after a contract has been signed with Georgia Power.</w:t>
      </w:r>
    </w:p>
    <w:p w14:paraId="665D7CA7" w14:textId="77777777" w:rsidR="00B3054A" w:rsidRDefault="00B3054A" w:rsidP="006F5DB7">
      <w:pPr>
        <w:spacing w:line="276" w:lineRule="auto"/>
        <w:jc w:val="both"/>
      </w:pPr>
    </w:p>
    <w:p w14:paraId="1A5881DF" w14:textId="77777777" w:rsidR="00E345A0" w:rsidRPr="00E345A0" w:rsidRDefault="00E345A0" w:rsidP="00E345A0"/>
    <w:p w14:paraId="6D508045" w14:textId="00AC203D" w:rsidR="004056A0" w:rsidRPr="007F44DD" w:rsidRDefault="00B3054A" w:rsidP="007F44DD">
      <w:pPr>
        <w:pStyle w:val="Heading2"/>
        <w:spacing w:before="0"/>
        <w:jc w:val="left"/>
        <w:rPr>
          <w:rFonts w:ascii="Arial" w:hAnsi="Arial" w:cs="Arial"/>
          <w:b/>
          <w:color w:val="auto"/>
          <w:sz w:val="20"/>
          <w:szCs w:val="20"/>
        </w:rPr>
      </w:pPr>
      <w:bookmarkStart w:id="410" w:name="_Toc188257160"/>
      <w:bookmarkStart w:id="411" w:name="_Toc188257375"/>
      <w:bookmarkStart w:id="412" w:name="_Toc188257599"/>
      <w:bookmarkStart w:id="413" w:name="_Toc189162608"/>
      <w:r w:rsidRPr="007F44DD">
        <w:rPr>
          <w:rFonts w:ascii="Arial" w:hAnsi="Arial" w:cs="Arial"/>
          <w:b/>
          <w:color w:val="auto"/>
          <w:sz w:val="20"/>
          <w:szCs w:val="20"/>
        </w:rPr>
        <w:t>7</w:t>
      </w:r>
      <w:r w:rsidR="004056A0" w:rsidRPr="007F44DD">
        <w:rPr>
          <w:rFonts w:ascii="Arial" w:hAnsi="Arial" w:cs="Arial"/>
          <w:b/>
          <w:color w:val="auto"/>
          <w:sz w:val="20"/>
          <w:szCs w:val="20"/>
        </w:rPr>
        <w:t>.1.4</w:t>
      </w:r>
      <w:r w:rsidR="004056A0" w:rsidRPr="007F44DD">
        <w:rPr>
          <w:rFonts w:ascii="Arial" w:hAnsi="Arial" w:cs="Arial"/>
          <w:b/>
          <w:color w:val="auto"/>
          <w:sz w:val="20"/>
          <w:szCs w:val="20"/>
        </w:rPr>
        <w:tab/>
        <w:t>State Selection</w:t>
      </w:r>
      <w:bookmarkEnd w:id="410"/>
      <w:bookmarkEnd w:id="411"/>
      <w:bookmarkEnd w:id="412"/>
      <w:bookmarkEnd w:id="413"/>
    </w:p>
    <w:p w14:paraId="5D4DD752" w14:textId="77777777" w:rsidR="00B3054A" w:rsidRDefault="00B3054A" w:rsidP="004056A0">
      <w:pPr>
        <w:spacing w:line="276" w:lineRule="auto"/>
        <w:jc w:val="both"/>
        <w:rPr>
          <w:rFonts w:asciiTheme="minorHAnsi" w:hAnsiTheme="minorHAnsi" w:cstheme="minorHAnsi"/>
          <w:sz w:val="22"/>
          <w:szCs w:val="22"/>
        </w:rPr>
      </w:pPr>
    </w:p>
    <w:p w14:paraId="503C1F62" w14:textId="77777777" w:rsidR="004056A0" w:rsidRDefault="004056A0" w:rsidP="002D1734">
      <w:pPr>
        <w:spacing w:line="360" w:lineRule="auto"/>
        <w:jc w:val="both"/>
        <w:rPr>
          <w:b w:val="0"/>
        </w:rPr>
      </w:pPr>
      <w:r w:rsidRPr="0058663C">
        <w:rPr>
          <w:b w:val="0"/>
        </w:rPr>
        <w:t xml:space="preserve">Customers often evaluate sites in multiple states before finalizing the location of a project. Mathematically, state selection can be treated as a binary event, with one (1) assigned for customers that select Georgia and zero (0) for customers that select a different state. For those customers contemplating Georgia as a place for doing business, a probability (referred to as P1) can be assigned for the likelihood of state selection. Likelihood can be estimated based on a historical selection rate that is calculated based on the number of projects that chose Georgia versus the number of projects that did not. </w:t>
      </w:r>
    </w:p>
    <w:p w14:paraId="536B5D1F" w14:textId="6DC3F2F4" w:rsidR="007F44DD" w:rsidRDefault="007F44DD">
      <w:pPr>
        <w:spacing w:after="200" w:line="276" w:lineRule="auto"/>
        <w:jc w:val="left"/>
        <w:rPr>
          <w:b w:val="0"/>
        </w:rPr>
      </w:pPr>
      <w:r>
        <w:rPr>
          <w:b w:val="0"/>
        </w:rPr>
        <w:br w:type="page"/>
      </w:r>
    </w:p>
    <w:p w14:paraId="2C0AE592" w14:textId="1E49871F" w:rsidR="004056A0" w:rsidRPr="007F44DD" w:rsidRDefault="00B3054A" w:rsidP="007F44DD">
      <w:pPr>
        <w:pStyle w:val="Heading2"/>
        <w:jc w:val="left"/>
        <w:rPr>
          <w:rFonts w:ascii="Arial" w:hAnsi="Arial" w:cs="Arial"/>
          <w:b/>
          <w:color w:val="auto"/>
          <w:sz w:val="20"/>
          <w:szCs w:val="20"/>
        </w:rPr>
      </w:pPr>
      <w:bookmarkStart w:id="414" w:name="_Toc188257161"/>
      <w:bookmarkStart w:id="415" w:name="_Toc188257376"/>
      <w:bookmarkStart w:id="416" w:name="_Toc188257600"/>
      <w:bookmarkStart w:id="417" w:name="_Toc189162609"/>
      <w:r w:rsidRPr="007F44DD">
        <w:rPr>
          <w:rFonts w:ascii="Arial" w:hAnsi="Arial" w:cs="Arial"/>
          <w:b/>
          <w:color w:val="auto"/>
          <w:sz w:val="20"/>
          <w:szCs w:val="20"/>
        </w:rPr>
        <w:lastRenderedPageBreak/>
        <w:t>7</w:t>
      </w:r>
      <w:r w:rsidR="004056A0" w:rsidRPr="007F44DD">
        <w:rPr>
          <w:rFonts w:ascii="Arial" w:hAnsi="Arial" w:cs="Arial"/>
          <w:b/>
          <w:color w:val="auto"/>
          <w:sz w:val="20"/>
          <w:szCs w:val="20"/>
        </w:rPr>
        <w:t>.1.5</w:t>
      </w:r>
      <w:r w:rsidR="004056A0" w:rsidRPr="007F44DD">
        <w:rPr>
          <w:rFonts w:ascii="Arial" w:hAnsi="Arial" w:cs="Arial"/>
          <w:b/>
          <w:color w:val="auto"/>
          <w:sz w:val="20"/>
          <w:szCs w:val="20"/>
        </w:rPr>
        <w:tab/>
        <w:t>Electric Service Provider</w:t>
      </w:r>
      <w:bookmarkEnd w:id="414"/>
      <w:bookmarkEnd w:id="415"/>
      <w:bookmarkEnd w:id="416"/>
      <w:bookmarkEnd w:id="417"/>
    </w:p>
    <w:p w14:paraId="34EDAE5D" w14:textId="77777777" w:rsidR="00B3054A" w:rsidRPr="0058663C" w:rsidRDefault="00B3054A" w:rsidP="0058663C"/>
    <w:p w14:paraId="3915E237" w14:textId="77777777" w:rsidR="004056A0" w:rsidRPr="0058663C" w:rsidRDefault="004056A0" w:rsidP="0058663C">
      <w:pPr>
        <w:spacing w:line="360" w:lineRule="auto"/>
        <w:jc w:val="both"/>
        <w:rPr>
          <w:b w:val="0"/>
        </w:rPr>
      </w:pPr>
      <w:r w:rsidRPr="0058663C">
        <w:rPr>
          <w:b w:val="0"/>
        </w:rPr>
        <w:t>Whether a customer chooses Georgia Power as its electric service provider can also be treated as a binary event. The probability of Georgia Power being chosen as the provider (referred to as P2) is determined by the Company based on factors such as competition from other electric service providers, an existing relationship with a customer, and the progress of discussions with a customer.</w:t>
      </w:r>
    </w:p>
    <w:p w14:paraId="2DB76D60" w14:textId="77777777" w:rsidR="00B3054A" w:rsidRDefault="00B3054A" w:rsidP="00FC4CB5">
      <w:pPr>
        <w:spacing w:line="276" w:lineRule="auto"/>
        <w:jc w:val="both"/>
      </w:pPr>
    </w:p>
    <w:p w14:paraId="17941919" w14:textId="63E57FBF" w:rsidR="004056A0" w:rsidRPr="00E345A0" w:rsidRDefault="00B3054A" w:rsidP="00E345A0">
      <w:pPr>
        <w:pStyle w:val="Heading2"/>
        <w:jc w:val="left"/>
        <w:rPr>
          <w:rFonts w:ascii="Arial" w:hAnsi="Arial" w:cs="Arial"/>
          <w:b/>
          <w:color w:val="auto"/>
          <w:sz w:val="20"/>
          <w:szCs w:val="20"/>
        </w:rPr>
      </w:pPr>
      <w:bookmarkStart w:id="418" w:name="_Toc188257162"/>
      <w:bookmarkStart w:id="419" w:name="_Toc188257377"/>
      <w:bookmarkStart w:id="420" w:name="_Toc188257601"/>
      <w:bookmarkStart w:id="421" w:name="_Toc189162610"/>
      <w:r w:rsidRPr="00E345A0">
        <w:rPr>
          <w:rFonts w:ascii="Arial" w:hAnsi="Arial" w:cs="Arial"/>
          <w:b/>
          <w:color w:val="auto"/>
          <w:sz w:val="20"/>
          <w:szCs w:val="20"/>
        </w:rPr>
        <w:t>7</w:t>
      </w:r>
      <w:r w:rsidR="004056A0" w:rsidRPr="00E345A0">
        <w:rPr>
          <w:rFonts w:ascii="Arial" w:hAnsi="Arial" w:cs="Arial"/>
          <w:b/>
          <w:color w:val="auto"/>
          <w:sz w:val="20"/>
          <w:szCs w:val="20"/>
        </w:rPr>
        <w:t>.1.6</w:t>
      </w:r>
      <w:r w:rsidR="004056A0" w:rsidRPr="00E345A0">
        <w:rPr>
          <w:rFonts w:ascii="Arial" w:hAnsi="Arial" w:cs="Arial"/>
          <w:b/>
          <w:color w:val="auto"/>
          <w:sz w:val="20"/>
          <w:szCs w:val="20"/>
        </w:rPr>
        <w:tab/>
        <w:t>Project Reaching C</w:t>
      </w:r>
      <w:r w:rsidR="00650D36" w:rsidRPr="00E345A0">
        <w:rPr>
          <w:rFonts w:ascii="Arial" w:hAnsi="Arial" w:cs="Arial"/>
          <w:b/>
          <w:color w:val="auto"/>
          <w:sz w:val="20"/>
          <w:szCs w:val="20"/>
        </w:rPr>
        <w:t>ommercial Operation</w:t>
      </w:r>
      <w:bookmarkEnd w:id="418"/>
      <w:bookmarkEnd w:id="419"/>
      <w:bookmarkEnd w:id="420"/>
      <w:bookmarkEnd w:id="421"/>
    </w:p>
    <w:p w14:paraId="1E0D5D84" w14:textId="77777777" w:rsidR="00B3054A" w:rsidRPr="0058663C" w:rsidRDefault="00B3054A" w:rsidP="0058663C"/>
    <w:p w14:paraId="279381A4" w14:textId="77777777" w:rsidR="004056A0" w:rsidRPr="0058663C" w:rsidRDefault="004056A0" w:rsidP="0058663C">
      <w:pPr>
        <w:spacing w:line="360" w:lineRule="auto"/>
        <w:jc w:val="both"/>
        <w:rPr>
          <w:b w:val="0"/>
        </w:rPr>
      </w:pPr>
      <w:r w:rsidRPr="0058663C">
        <w:rPr>
          <w:b w:val="0"/>
        </w:rPr>
        <w:t xml:space="preserve">The probability of projects reaching commercial operation (referred to as P3) </w:t>
      </w:r>
      <w:r w:rsidRPr="0058663C" w:rsidDel="00C24A18">
        <w:rPr>
          <w:b w:val="0"/>
        </w:rPr>
        <w:t xml:space="preserve">is </w:t>
      </w:r>
      <w:r w:rsidRPr="0058663C">
        <w:rPr>
          <w:b w:val="0"/>
        </w:rPr>
        <w:t xml:space="preserve">determined by reviewing the number of projects that reached commercial operation versus the total number of projects Georgia Power was selected to serve. </w:t>
      </w:r>
    </w:p>
    <w:p w14:paraId="60E134D6" w14:textId="77777777" w:rsidR="004056A0" w:rsidRPr="0058663C" w:rsidRDefault="004056A0" w:rsidP="0058663C">
      <w:pPr>
        <w:spacing w:line="360" w:lineRule="auto"/>
        <w:jc w:val="both"/>
        <w:rPr>
          <w:b w:val="0"/>
        </w:rPr>
      </w:pPr>
    </w:p>
    <w:p w14:paraId="3AB4E1CA" w14:textId="286172AE" w:rsidR="004056A0" w:rsidRPr="0058663C" w:rsidRDefault="004056A0" w:rsidP="0058663C">
      <w:pPr>
        <w:spacing w:line="360" w:lineRule="auto"/>
        <w:jc w:val="both"/>
        <w:rPr>
          <w:b w:val="0"/>
        </w:rPr>
      </w:pPr>
      <w:r w:rsidRPr="0058663C">
        <w:rPr>
          <w:b w:val="0"/>
        </w:rPr>
        <w:t>For a new large load project to be considered successful, all three of the above events (i.e., state selection, Georgia Power being chosen as electric service provider, and the project reaching commercial operation) must occur. In other words, project success or failure is a binary event that is reflected by the probability formula P</w:t>
      </w:r>
      <w:r w:rsidR="00532872">
        <w:rPr>
          <w:b w:val="0"/>
          <w:bCs/>
        </w:rPr>
        <w:t xml:space="preserve"> </w:t>
      </w:r>
      <w:r w:rsidRPr="0058663C">
        <w:rPr>
          <w:b w:val="0"/>
          <w:bCs/>
        </w:rPr>
        <w:t>=</w:t>
      </w:r>
      <w:r w:rsidR="00532872">
        <w:rPr>
          <w:b w:val="0"/>
          <w:bCs/>
        </w:rPr>
        <w:t xml:space="preserve"> </w:t>
      </w:r>
      <w:r w:rsidRPr="0058663C">
        <w:rPr>
          <w:b w:val="0"/>
        </w:rPr>
        <w:t>P1*P2*P3.</w:t>
      </w:r>
    </w:p>
    <w:p w14:paraId="398AE814" w14:textId="77777777" w:rsidR="00B3054A" w:rsidRPr="0058663C" w:rsidRDefault="00B3054A" w:rsidP="00D47723">
      <w:pPr>
        <w:spacing w:after="240" w:line="276" w:lineRule="auto"/>
        <w:jc w:val="both"/>
      </w:pPr>
    </w:p>
    <w:p w14:paraId="4846D960" w14:textId="1FB3387D" w:rsidR="004056A0" w:rsidRPr="00E345A0" w:rsidRDefault="00B3054A" w:rsidP="00E345A0">
      <w:pPr>
        <w:pStyle w:val="Heading2"/>
        <w:jc w:val="left"/>
        <w:rPr>
          <w:rFonts w:ascii="Arial" w:hAnsi="Arial" w:cs="Arial"/>
          <w:b/>
          <w:color w:val="auto"/>
          <w:sz w:val="20"/>
          <w:szCs w:val="20"/>
        </w:rPr>
      </w:pPr>
      <w:bookmarkStart w:id="422" w:name="_Toc188257163"/>
      <w:bookmarkStart w:id="423" w:name="_Toc188257378"/>
      <w:bookmarkStart w:id="424" w:name="_Toc188257602"/>
      <w:bookmarkStart w:id="425" w:name="_Toc189162611"/>
      <w:r w:rsidRPr="00E345A0">
        <w:rPr>
          <w:rFonts w:ascii="Arial" w:hAnsi="Arial" w:cs="Arial"/>
          <w:b/>
          <w:color w:val="auto"/>
          <w:sz w:val="20"/>
          <w:szCs w:val="20"/>
        </w:rPr>
        <w:t>7</w:t>
      </w:r>
      <w:r w:rsidR="004056A0" w:rsidRPr="00E345A0">
        <w:rPr>
          <w:rFonts w:ascii="Arial" w:hAnsi="Arial" w:cs="Arial"/>
          <w:b/>
          <w:color w:val="auto"/>
          <w:sz w:val="20"/>
          <w:szCs w:val="20"/>
        </w:rPr>
        <w:t>.1.7</w:t>
      </w:r>
      <w:r w:rsidR="004056A0" w:rsidRPr="00E345A0">
        <w:rPr>
          <w:rFonts w:ascii="Arial" w:hAnsi="Arial" w:cs="Arial"/>
          <w:b/>
          <w:color w:val="auto"/>
          <w:sz w:val="20"/>
          <w:szCs w:val="20"/>
        </w:rPr>
        <w:tab/>
        <w:t>Announced Load vs. Metered Load</w:t>
      </w:r>
      <w:bookmarkEnd w:id="422"/>
      <w:bookmarkEnd w:id="423"/>
      <w:bookmarkEnd w:id="424"/>
      <w:bookmarkEnd w:id="425"/>
    </w:p>
    <w:p w14:paraId="3328E3EF" w14:textId="77777777" w:rsidR="00B3054A" w:rsidRPr="0058663C" w:rsidRDefault="00B3054A" w:rsidP="0058663C"/>
    <w:p w14:paraId="610E0D4B" w14:textId="48B6E093" w:rsidR="004056A0" w:rsidRPr="0058663C" w:rsidRDefault="004056A0" w:rsidP="0058663C">
      <w:pPr>
        <w:spacing w:line="360" w:lineRule="auto"/>
        <w:jc w:val="both"/>
        <w:rPr>
          <w:b w:val="0"/>
        </w:rPr>
      </w:pPr>
      <w:r w:rsidRPr="0058663C">
        <w:rPr>
          <w:b w:val="0"/>
        </w:rPr>
        <w:t xml:space="preserve">To account for the potential difference between the metered load being served, as measured at the customer’s meter, versus the load announced by the customer, the ratio (in %) between metered load and announced load is treated as a range. In the absence of actual historical data, the Company identifies minimum and maximum values for this range, as well as a most likely outcome. For example, in the case of data centers, the range is between </w:t>
      </w:r>
      <w:r w:rsidR="002C5174" w:rsidRPr="00543037">
        <w:rPr>
          <w:bCs/>
          <w:sz w:val="6"/>
          <w:szCs w:val="6"/>
        </w:rPr>
        <w:t>REDACTED</w:t>
      </w:r>
      <w:r w:rsidRPr="0058663C">
        <w:rPr>
          <w:b w:val="0"/>
        </w:rPr>
        <w:t xml:space="preserve">% and </w:t>
      </w:r>
      <w:r w:rsidR="002C5174" w:rsidRPr="00543037">
        <w:rPr>
          <w:bCs/>
          <w:sz w:val="6"/>
          <w:szCs w:val="6"/>
        </w:rPr>
        <w:t>REDACTED</w:t>
      </w:r>
      <w:r w:rsidRPr="0058663C">
        <w:rPr>
          <w:b w:val="0"/>
        </w:rPr>
        <w:t xml:space="preserve">% of the customer’s announced load, with a most likely outcome of </w:t>
      </w:r>
      <w:r w:rsidR="00F94009" w:rsidRPr="00543037">
        <w:rPr>
          <w:bCs/>
          <w:sz w:val="16"/>
          <w:szCs w:val="16"/>
        </w:rPr>
        <w:t>REDACTED</w:t>
      </w:r>
      <w:r w:rsidRPr="0058663C">
        <w:rPr>
          <w:b w:val="0"/>
        </w:rPr>
        <w:t xml:space="preserve">%. Mathematically, this is modeled with a triangular distribution (see </w:t>
      </w:r>
      <w:r w:rsidRPr="0058663C">
        <w:rPr>
          <w:b w:val="0"/>
        </w:rPr>
        <w:br/>
        <w:t xml:space="preserve">Section </w:t>
      </w:r>
      <w:r w:rsidR="002F23A7">
        <w:rPr>
          <w:b w:val="0"/>
          <w:bCs/>
        </w:rPr>
        <w:t>7.3</w:t>
      </w:r>
      <w:r w:rsidRPr="0058663C">
        <w:rPr>
          <w:b w:val="0"/>
        </w:rPr>
        <w:t xml:space="preserve"> for more technical details).</w:t>
      </w:r>
    </w:p>
    <w:p w14:paraId="7320D2C8" w14:textId="77777777" w:rsidR="004056A0" w:rsidRPr="0058663C" w:rsidRDefault="004056A0" w:rsidP="0058663C">
      <w:pPr>
        <w:spacing w:line="360" w:lineRule="auto"/>
        <w:jc w:val="both"/>
        <w:rPr>
          <w:b w:val="0"/>
        </w:rPr>
      </w:pPr>
    </w:p>
    <w:p w14:paraId="4D432902" w14:textId="4548D29B" w:rsidR="004056A0" w:rsidRPr="0058663C" w:rsidRDefault="004056A0" w:rsidP="0058663C">
      <w:pPr>
        <w:spacing w:line="360" w:lineRule="auto"/>
        <w:jc w:val="both"/>
        <w:rPr>
          <w:b w:val="0"/>
        </w:rPr>
      </w:pPr>
      <w:r w:rsidRPr="0058663C">
        <w:rPr>
          <w:b w:val="0"/>
        </w:rPr>
        <w:t xml:space="preserve">Table </w:t>
      </w:r>
      <w:r w:rsidR="00F7297F">
        <w:rPr>
          <w:b w:val="0"/>
          <w:bCs/>
        </w:rPr>
        <w:t>7.1.7-1</w:t>
      </w:r>
      <w:r w:rsidRPr="0058663C">
        <w:rPr>
          <w:b w:val="0"/>
        </w:rPr>
        <w:t xml:space="preserve"> below demonstrates the parameter inputs for modeling the metered load compared to the announced load, based on the customer class and segment.</w:t>
      </w:r>
    </w:p>
    <w:p w14:paraId="2489105D" w14:textId="77777777" w:rsidR="004056A0" w:rsidRPr="00B20D17" w:rsidRDefault="004056A0" w:rsidP="0058663C">
      <w:pPr>
        <w:spacing w:line="360" w:lineRule="auto"/>
        <w:jc w:val="both"/>
        <w:rPr>
          <w:rFonts w:asciiTheme="minorHAnsi" w:hAnsiTheme="minorHAnsi" w:cstheme="minorHAnsi"/>
        </w:rPr>
      </w:pPr>
    </w:p>
    <w:p w14:paraId="39458312" w14:textId="443F36FF" w:rsidR="004056A0" w:rsidRPr="00E832A5" w:rsidRDefault="004056A0" w:rsidP="004056A0">
      <w:pPr>
        <w:keepNext/>
        <w:spacing w:line="276" w:lineRule="auto"/>
        <w:rPr>
          <w:rFonts w:asciiTheme="minorHAnsi" w:hAnsiTheme="minorHAnsi" w:cstheme="minorHAnsi"/>
          <w:b w:val="0"/>
          <w:bCs/>
          <w:sz w:val="22"/>
          <w:szCs w:val="22"/>
        </w:rPr>
      </w:pPr>
      <w:r w:rsidRPr="00223F38">
        <w:rPr>
          <w:rFonts w:asciiTheme="minorHAnsi" w:hAnsiTheme="minorHAnsi" w:cstheme="minorHAnsi"/>
          <w:sz w:val="22"/>
          <w:szCs w:val="22"/>
        </w:rPr>
        <w:lastRenderedPageBreak/>
        <w:t xml:space="preserve">Table </w:t>
      </w:r>
      <w:r w:rsidR="00B3054A" w:rsidRPr="00223F38">
        <w:rPr>
          <w:rFonts w:asciiTheme="minorHAnsi" w:hAnsiTheme="minorHAnsi" w:cstheme="minorHAnsi"/>
          <w:sz w:val="22"/>
          <w:szCs w:val="22"/>
        </w:rPr>
        <w:t>7</w:t>
      </w:r>
      <w:r w:rsidRPr="00223F38">
        <w:rPr>
          <w:rFonts w:asciiTheme="minorHAnsi" w:hAnsiTheme="minorHAnsi" w:cstheme="minorHAnsi"/>
          <w:sz w:val="22"/>
          <w:szCs w:val="22"/>
        </w:rPr>
        <w:t xml:space="preserve">.1.7-1: Specifications of Triangular Distributions for </w:t>
      </w:r>
      <w:r w:rsidRPr="00223F38">
        <w:rPr>
          <w:rFonts w:asciiTheme="minorHAnsi" w:hAnsiTheme="minorHAnsi" w:cstheme="minorHAnsi"/>
          <w:bCs/>
          <w:sz w:val="22"/>
          <w:szCs w:val="22"/>
        </w:rPr>
        <w:t>Metered</w:t>
      </w:r>
      <w:r w:rsidRPr="00223F38">
        <w:rPr>
          <w:rFonts w:asciiTheme="minorHAnsi" w:hAnsiTheme="minorHAnsi" w:cstheme="minorHAnsi"/>
          <w:sz w:val="22"/>
          <w:szCs w:val="22"/>
        </w:rPr>
        <w:t xml:space="preserve"> vs. Announced</w:t>
      </w:r>
    </w:p>
    <w:p w14:paraId="3AC227B9" w14:textId="77777777" w:rsidR="004056A0" w:rsidRPr="00E832A5" w:rsidRDefault="004056A0" w:rsidP="004056A0">
      <w:pPr>
        <w:keepNext/>
        <w:spacing w:line="276" w:lineRule="auto"/>
        <w:jc w:val="both"/>
        <w:rPr>
          <w:rFonts w:asciiTheme="minorHAnsi" w:hAnsiTheme="minorHAnsi" w:cstheme="minorHAnsi"/>
          <w:b w:val="0"/>
          <w:bCs/>
          <w:sz w:val="22"/>
          <w:szCs w:val="22"/>
        </w:rPr>
      </w:pPr>
    </w:p>
    <w:tbl>
      <w:tblPr>
        <w:tblW w:w="8903" w:type="dxa"/>
        <w:jc w:val="center"/>
        <w:tblLook w:val="04A0" w:firstRow="1" w:lastRow="0" w:firstColumn="1" w:lastColumn="0" w:noHBand="0" w:noVBand="1"/>
      </w:tblPr>
      <w:tblGrid>
        <w:gridCol w:w="1636"/>
        <w:gridCol w:w="3275"/>
        <w:gridCol w:w="1191"/>
        <w:gridCol w:w="1191"/>
        <w:gridCol w:w="1680"/>
      </w:tblGrid>
      <w:tr w:rsidR="004056A0" w:rsidRPr="00E832A5" w14:paraId="359FD5AD" w14:textId="77777777">
        <w:trPr>
          <w:trHeight w:val="285"/>
          <w:jc w:val="center"/>
        </w:trPr>
        <w:tc>
          <w:tcPr>
            <w:tcW w:w="1636" w:type="dxa"/>
            <w:tcBorders>
              <w:top w:val="nil"/>
              <w:left w:val="nil"/>
              <w:bottom w:val="nil"/>
              <w:right w:val="nil"/>
            </w:tcBorders>
            <w:shd w:val="clear" w:color="auto" w:fill="auto"/>
            <w:noWrap/>
            <w:vAlign w:val="center"/>
            <w:hideMark/>
          </w:tcPr>
          <w:p w14:paraId="457ACA69" w14:textId="77777777" w:rsidR="004056A0" w:rsidRPr="00E832A5" w:rsidRDefault="004056A0">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Class</w:t>
            </w:r>
          </w:p>
        </w:tc>
        <w:tc>
          <w:tcPr>
            <w:tcW w:w="3275" w:type="dxa"/>
            <w:tcBorders>
              <w:top w:val="nil"/>
              <w:left w:val="nil"/>
              <w:bottom w:val="nil"/>
              <w:right w:val="nil"/>
            </w:tcBorders>
            <w:shd w:val="clear" w:color="auto" w:fill="auto"/>
            <w:noWrap/>
            <w:vAlign w:val="center"/>
            <w:hideMark/>
          </w:tcPr>
          <w:p w14:paraId="12B3EEB2" w14:textId="77777777" w:rsidR="004056A0" w:rsidRPr="00E832A5" w:rsidRDefault="004056A0">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Segment</w:t>
            </w:r>
          </w:p>
        </w:tc>
        <w:tc>
          <w:tcPr>
            <w:tcW w:w="1156" w:type="dxa"/>
            <w:tcBorders>
              <w:top w:val="nil"/>
              <w:left w:val="nil"/>
              <w:bottom w:val="nil"/>
              <w:right w:val="nil"/>
            </w:tcBorders>
            <w:shd w:val="clear" w:color="auto" w:fill="auto"/>
            <w:noWrap/>
            <w:vAlign w:val="center"/>
            <w:hideMark/>
          </w:tcPr>
          <w:p w14:paraId="1BD8E042" w14:textId="77777777" w:rsidR="004056A0" w:rsidRPr="00E832A5" w:rsidRDefault="004056A0">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Low</w:t>
            </w:r>
          </w:p>
        </w:tc>
        <w:tc>
          <w:tcPr>
            <w:tcW w:w="1156" w:type="dxa"/>
            <w:tcBorders>
              <w:top w:val="nil"/>
              <w:left w:val="nil"/>
              <w:bottom w:val="nil"/>
              <w:right w:val="nil"/>
            </w:tcBorders>
            <w:shd w:val="clear" w:color="auto" w:fill="auto"/>
            <w:noWrap/>
            <w:vAlign w:val="center"/>
            <w:hideMark/>
          </w:tcPr>
          <w:p w14:paraId="6A20034A" w14:textId="77777777" w:rsidR="004056A0" w:rsidRPr="00E832A5" w:rsidRDefault="004056A0">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Mid</w:t>
            </w:r>
          </w:p>
        </w:tc>
        <w:tc>
          <w:tcPr>
            <w:tcW w:w="1680" w:type="dxa"/>
            <w:tcBorders>
              <w:top w:val="nil"/>
              <w:left w:val="nil"/>
              <w:bottom w:val="nil"/>
              <w:right w:val="nil"/>
            </w:tcBorders>
            <w:shd w:val="clear" w:color="auto" w:fill="auto"/>
            <w:noWrap/>
            <w:vAlign w:val="center"/>
            <w:hideMark/>
          </w:tcPr>
          <w:p w14:paraId="692B1A60" w14:textId="77777777" w:rsidR="004056A0" w:rsidRPr="00E832A5" w:rsidRDefault="004056A0">
            <w:pPr>
              <w:keepNext/>
              <w:keepLines/>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High</w:t>
            </w:r>
          </w:p>
        </w:tc>
      </w:tr>
      <w:tr w:rsidR="00F2229E" w:rsidRPr="00E832A5" w14:paraId="41991896"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4FD530E7"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Commercial</w:t>
            </w:r>
          </w:p>
        </w:tc>
        <w:tc>
          <w:tcPr>
            <w:tcW w:w="3275" w:type="dxa"/>
            <w:tcBorders>
              <w:top w:val="nil"/>
              <w:left w:val="nil"/>
              <w:bottom w:val="nil"/>
              <w:right w:val="nil"/>
            </w:tcBorders>
            <w:shd w:val="clear" w:color="auto" w:fill="auto"/>
            <w:noWrap/>
            <w:vAlign w:val="center"/>
            <w:hideMark/>
          </w:tcPr>
          <w:p w14:paraId="40C1ECB4"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Cryptocurrency</w:t>
            </w:r>
          </w:p>
        </w:tc>
        <w:tc>
          <w:tcPr>
            <w:tcW w:w="1156" w:type="dxa"/>
            <w:tcBorders>
              <w:top w:val="nil"/>
              <w:left w:val="nil"/>
              <w:bottom w:val="nil"/>
              <w:right w:val="nil"/>
            </w:tcBorders>
            <w:shd w:val="clear" w:color="auto" w:fill="auto"/>
            <w:noWrap/>
            <w:vAlign w:val="center"/>
            <w:hideMark/>
          </w:tcPr>
          <w:p w14:paraId="6AA2869C" w14:textId="25F33547"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216DD4">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78130AFA" w14:textId="7E4FB1E4"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0D98FFC6" w14:textId="52687482"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r w:rsidR="00F2229E" w:rsidRPr="00E832A5" w14:paraId="55BEF21F"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2950FB2D"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22C0A82B"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Datacenter</w:t>
            </w:r>
          </w:p>
        </w:tc>
        <w:tc>
          <w:tcPr>
            <w:tcW w:w="1156" w:type="dxa"/>
            <w:tcBorders>
              <w:top w:val="nil"/>
              <w:left w:val="nil"/>
              <w:bottom w:val="nil"/>
              <w:right w:val="nil"/>
            </w:tcBorders>
            <w:shd w:val="clear" w:color="auto" w:fill="auto"/>
            <w:noWrap/>
            <w:vAlign w:val="center"/>
            <w:hideMark/>
          </w:tcPr>
          <w:p w14:paraId="540043A6" w14:textId="0C4A82A9"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216DD4">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293022D4" w14:textId="2183424C"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36B4EB98" w14:textId="43931A3A"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r w:rsidR="00F2229E" w:rsidRPr="00E832A5" w14:paraId="4A3D9CFB"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195B692E"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62DEBBFC"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Miscellaneous</w:t>
            </w:r>
          </w:p>
        </w:tc>
        <w:tc>
          <w:tcPr>
            <w:tcW w:w="1156" w:type="dxa"/>
            <w:tcBorders>
              <w:top w:val="nil"/>
              <w:left w:val="nil"/>
              <w:bottom w:val="nil"/>
              <w:right w:val="nil"/>
            </w:tcBorders>
            <w:shd w:val="clear" w:color="auto" w:fill="auto"/>
            <w:noWrap/>
            <w:hideMark/>
          </w:tcPr>
          <w:p w14:paraId="15DEAE2E" w14:textId="7D61FAE2"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1ACCE950" w14:textId="32E2ABCF"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421F6A4B" w14:textId="3CE5F9D8"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r w:rsidR="00F2229E" w:rsidRPr="00E832A5" w14:paraId="08DDE36E"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38BC2BF1"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25EE7F77"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Warehouse</w:t>
            </w:r>
          </w:p>
        </w:tc>
        <w:tc>
          <w:tcPr>
            <w:tcW w:w="1156" w:type="dxa"/>
            <w:tcBorders>
              <w:top w:val="nil"/>
              <w:left w:val="nil"/>
              <w:bottom w:val="nil"/>
              <w:right w:val="nil"/>
            </w:tcBorders>
            <w:shd w:val="clear" w:color="auto" w:fill="auto"/>
            <w:noWrap/>
            <w:hideMark/>
          </w:tcPr>
          <w:p w14:paraId="499CB393" w14:textId="5DAE9E8C"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1BA1E2D9" w14:textId="0F053ADA"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2C886D82" w14:textId="56AF7671"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r w:rsidR="00F2229E" w:rsidRPr="00E832A5" w14:paraId="2CCC55C1"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436AA636"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hideMark/>
          </w:tcPr>
          <w:p w14:paraId="6D7748BF"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Distribution</w:t>
            </w:r>
          </w:p>
        </w:tc>
        <w:tc>
          <w:tcPr>
            <w:tcW w:w="1156" w:type="dxa"/>
            <w:tcBorders>
              <w:top w:val="nil"/>
              <w:left w:val="nil"/>
              <w:bottom w:val="nil"/>
              <w:right w:val="nil"/>
            </w:tcBorders>
            <w:shd w:val="clear" w:color="auto" w:fill="auto"/>
            <w:noWrap/>
            <w:hideMark/>
          </w:tcPr>
          <w:p w14:paraId="142EAD24" w14:textId="245F9E33"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5DB50B54" w14:textId="0344D981"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058079C6" w14:textId="0358EE94"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r w:rsidR="00F2229E" w:rsidRPr="00E832A5" w14:paraId="71D9492E" w14:textId="77777777" w:rsidTr="00F2229E">
        <w:trPr>
          <w:trHeight w:val="285"/>
          <w:jc w:val="center"/>
        </w:trPr>
        <w:tc>
          <w:tcPr>
            <w:tcW w:w="1636" w:type="dxa"/>
            <w:tcBorders>
              <w:top w:val="nil"/>
              <w:left w:val="nil"/>
              <w:bottom w:val="nil"/>
              <w:right w:val="nil"/>
            </w:tcBorders>
            <w:shd w:val="clear" w:color="auto" w:fill="auto"/>
            <w:noWrap/>
            <w:vAlign w:val="center"/>
            <w:hideMark/>
          </w:tcPr>
          <w:p w14:paraId="3602A920"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Industrial</w:t>
            </w:r>
          </w:p>
        </w:tc>
        <w:tc>
          <w:tcPr>
            <w:tcW w:w="3275" w:type="dxa"/>
            <w:tcBorders>
              <w:top w:val="nil"/>
              <w:left w:val="nil"/>
              <w:bottom w:val="nil"/>
              <w:right w:val="nil"/>
            </w:tcBorders>
            <w:shd w:val="clear" w:color="auto" w:fill="auto"/>
            <w:noWrap/>
            <w:vAlign w:val="center"/>
            <w:hideMark/>
          </w:tcPr>
          <w:p w14:paraId="1F1F0C90" w14:textId="77777777" w:rsidR="00F2229E" w:rsidRPr="00E832A5" w:rsidRDefault="00F2229E" w:rsidP="00F2229E">
            <w:pPr>
              <w:keepNext/>
              <w:keepLines/>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56" w:type="dxa"/>
            <w:tcBorders>
              <w:top w:val="nil"/>
              <w:left w:val="nil"/>
              <w:bottom w:val="nil"/>
              <w:right w:val="nil"/>
            </w:tcBorders>
            <w:shd w:val="clear" w:color="auto" w:fill="auto"/>
            <w:noWrap/>
            <w:hideMark/>
          </w:tcPr>
          <w:p w14:paraId="0531C549" w14:textId="05C5468A"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E377FF">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616A343F" w14:textId="7C2FCB06"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c>
          <w:tcPr>
            <w:tcW w:w="1680" w:type="dxa"/>
            <w:tcBorders>
              <w:top w:val="nil"/>
              <w:left w:val="nil"/>
              <w:bottom w:val="nil"/>
              <w:right w:val="nil"/>
            </w:tcBorders>
            <w:shd w:val="clear" w:color="auto" w:fill="auto"/>
            <w:noWrap/>
            <w:hideMark/>
          </w:tcPr>
          <w:p w14:paraId="42632D9A" w14:textId="508CB140" w:rsidR="00F2229E" w:rsidRPr="00A1616D" w:rsidRDefault="00F2229E" w:rsidP="00F2229E">
            <w:pPr>
              <w:keepNext/>
              <w:keepLines/>
              <w:spacing w:line="276" w:lineRule="auto"/>
              <w:jc w:val="both"/>
              <w:rPr>
                <w:rFonts w:asciiTheme="minorHAnsi" w:eastAsia="Microsoft YaHei" w:hAnsiTheme="minorHAnsi" w:cstheme="minorHAnsi"/>
                <w:color w:val="000000"/>
                <w:sz w:val="22"/>
                <w:szCs w:val="22"/>
                <w:highlight w:val="yellow"/>
              </w:rPr>
            </w:pPr>
            <w:r w:rsidRPr="00A6686B">
              <w:rPr>
                <w:rFonts w:asciiTheme="minorHAnsi" w:hAnsiTheme="minorHAnsi" w:cstheme="minorHAnsi"/>
                <w:bCs/>
                <w:sz w:val="22"/>
                <w:szCs w:val="22"/>
              </w:rPr>
              <w:t>REDACTED</w:t>
            </w:r>
          </w:p>
        </w:tc>
      </w:tr>
    </w:tbl>
    <w:p w14:paraId="37D95A8E" w14:textId="77777777" w:rsidR="004056A0" w:rsidRDefault="004056A0" w:rsidP="004056A0">
      <w:pPr>
        <w:spacing w:line="276" w:lineRule="auto"/>
        <w:jc w:val="both"/>
        <w:rPr>
          <w:rFonts w:asciiTheme="minorHAnsi" w:eastAsia="Microsoft YaHei" w:hAnsiTheme="minorHAnsi" w:cstheme="minorHAnsi"/>
          <w:color w:val="000000"/>
        </w:rPr>
      </w:pPr>
    </w:p>
    <w:p w14:paraId="6D366C49" w14:textId="77777777" w:rsidR="00B3054A" w:rsidRPr="00B20D17" w:rsidRDefault="00B3054A" w:rsidP="004056A0">
      <w:pPr>
        <w:spacing w:line="276" w:lineRule="auto"/>
        <w:jc w:val="both"/>
        <w:rPr>
          <w:rFonts w:asciiTheme="minorHAnsi" w:eastAsia="Microsoft YaHei" w:hAnsiTheme="minorHAnsi" w:cstheme="minorHAnsi"/>
          <w:color w:val="000000"/>
        </w:rPr>
      </w:pPr>
    </w:p>
    <w:p w14:paraId="2873C258" w14:textId="310C680E" w:rsidR="004056A0" w:rsidRPr="00E345A0" w:rsidRDefault="00B3054A" w:rsidP="00E345A0">
      <w:pPr>
        <w:pStyle w:val="Heading2"/>
        <w:jc w:val="left"/>
        <w:rPr>
          <w:rFonts w:ascii="Arial" w:hAnsi="Arial" w:cs="Arial"/>
          <w:b/>
          <w:color w:val="auto"/>
          <w:sz w:val="20"/>
          <w:szCs w:val="20"/>
        </w:rPr>
      </w:pPr>
      <w:bookmarkStart w:id="426" w:name="_Toc188257164"/>
      <w:bookmarkStart w:id="427" w:name="_Toc188257379"/>
      <w:bookmarkStart w:id="428" w:name="_Toc188257603"/>
      <w:bookmarkStart w:id="429" w:name="_Toc189162612"/>
      <w:r w:rsidRPr="00E345A0">
        <w:rPr>
          <w:rFonts w:ascii="Arial" w:hAnsi="Arial" w:cs="Arial"/>
          <w:b/>
          <w:color w:val="auto"/>
          <w:sz w:val="20"/>
          <w:szCs w:val="20"/>
        </w:rPr>
        <w:t>7</w:t>
      </w:r>
      <w:r w:rsidR="004056A0" w:rsidRPr="00E345A0">
        <w:rPr>
          <w:rFonts w:ascii="Arial" w:hAnsi="Arial" w:cs="Arial"/>
          <w:b/>
          <w:color w:val="auto"/>
          <w:sz w:val="20"/>
          <w:szCs w:val="20"/>
        </w:rPr>
        <w:t>.1.8</w:t>
      </w:r>
      <w:r w:rsidR="004056A0" w:rsidRPr="00E345A0">
        <w:rPr>
          <w:rFonts w:ascii="Arial" w:hAnsi="Arial" w:cs="Arial"/>
          <w:b/>
          <w:color w:val="auto"/>
          <w:sz w:val="20"/>
          <w:szCs w:val="20"/>
        </w:rPr>
        <w:tab/>
        <w:t>Commercial Operation Date</w:t>
      </w:r>
      <w:r w:rsidR="008B4137" w:rsidRPr="00E345A0">
        <w:rPr>
          <w:rFonts w:ascii="Arial" w:hAnsi="Arial" w:cs="Arial"/>
          <w:b/>
          <w:color w:val="auto"/>
          <w:sz w:val="20"/>
          <w:szCs w:val="20"/>
        </w:rPr>
        <w:t xml:space="preserve"> </w:t>
      </w:r>
      <w:r w:rsidR="004056A0" w:rsidRPr="00E345A0">
        <w:rPr>
          <w:rFonts w:ascii="Arial" w:hAnsi="Arial" w:cs="Arial"/>
          <w:b/>
          <w:color w:val="auto"/>
          <w:sz w:val="20"/>
          <w:szCs w:val="20"/>
        </w:rPr>
        <w:t>Delay</w:t>
      </w:r>
      <w:r w:rsidR="005127B8" w:rsidRPr="00E345A0">
        <w:rPr>
          <w:rFonts w:ascii="Arial" w:hAnsi="Arial" w:cs="Arial"/>
          <w:b/>
          <w:color w:val="auto"/>
          <w:sz w:val="20"/>
          <w:szCs w:val="20"/>
        </w:rPr>
        <w:t>s</w:t>
      </w:r>
      <w:bookmarkEnd w:id="426"/>
      <w:bookmarkEnd w:id="427"/>
      <w:bookmarkEnd w:id="428"/>
      <w:bookmarkEnd w:id="429"/>
    </w:p>
    <w:p w14:paraId="379D87E5" w14:textId="77777777" w:rsidR="00B3054A" w:rsidRPr="0058663C" w:rsidRDefault="00B3054A" w:rsidP="0058663C"/>
    <w:p w14:paraId="51E30696" w14:textId="2B756985" w:rsidR="002D1734" w:rsidRPr="0058663C" w:rsidRDefault="004056A0" w:rsidP="002D1734">
      <w:pPr>
        <w:spacing w:line="360" w:lineRule="auto"/>
        <w:jc w:val="both"/>
        <w:rPr>
          <w:b w:val="0"/>
        </w:rPr>
      </w:pPr>
      <w:r w:rsidRPr="0058663C">
        <w:rPr>
          <w:b w:val="0"/>
        </w:rPr>
        <w:t xml:space="preserve">Projects often experience delays in their commercial operation date. The expected delays are shown in Table </w:t>
      </w:r>
      <w:r w:rsidR="00913202">
        <w:rPr>
          <w:b w:val="0"/>
          <w:bCs/>
        </w:rPr>
        <w:t>7.1.8-1</w:t>
      </w:r>
      <w:r w:rsidRPr="0058663C">
        <w:rPr>
          <w:b w:val="0"/>
        </w:rPr>
        <w:t xml:space="preserve"> and can range between </w:t>
      </w:r>
      <w:r w:rsidR="00701489" w:rsidRPr="003A6F8A">
        <w:rPr>
          <w:bCs/>
          <w:sz w:val="8"/>
          <w:szCs w:val="8"/>
        </w:rPr>
        <w:t>REDACTED</w:t>
      </w:r>
      <w:r w:rsidR="00372DDD" w:rsidRPr="003A6F8A">
        <w:rPr>
          <w:b w:val="0"/>
          <w:sz w:val="8"/>
          <w:szCs w:val="8"/>
        </w:rPr>
        <w:t xml:space="preserve"> </w:t>
      </w:r>
      <w:r w:rsidR="00355CC3" w:rsidRPr="003A6F8A">
        <w:rPr>
          <w:b w:val="0"/>
          <w:sz w:val="16"/>
          <w:szCs w:val="16"/>
        </w:rPr>
        <w:t xml:space="preserve">to </w:t>
      </w:r>
      <w:r w:rsidR="00372DDD" w:rsidRPr="003A6F8A">
        <w:rPr>
          <w:bCs/>
          <w:sz w:val="8"/>
          <w:szCs w:val="8"/>
        </w:rPr>
        <w:t>REDACTED</w:t>
      </w:r>
      <w:r w:rsidR="00372DDD" w:rsidRPr="003A6F8A">
        <w:rPr>
          <w:b w:val="0"/>
          <w:sz w:val="8"/>
          <w:szCs w:val="8"/>
        </w:rPr>
        <w:t xml:space="preserve"> </w:t>
      </w:r>
      <w:r w:rsidR="00355CC3" w:rsidRPr="003A6F8A">
        <w:rPr>
          <w:b w:val="0"/>
          <w:sz w:val="16"/>
          <w:szCs w:val="16"/>
        </w:rPr>
        <w:t xml:space="preserve">months, with a most likely delay of </w:t>
      </w:r>
      <w:r w:rsidR="00372DDD" w:rsidRPr="003A6F8A">
        <w:rPr>
          <w:bCs/>
          <w:sz w:val="8"/>
          <w:szCs w:val="8"/>
        </w:rPr>
        <w:t>REDACTED</w:t>
      </w:r>
      <w:r w:rsidR="00372DDD" w:rsidRPr="003A6F8A">
        <w:rPr>
          <w:b w:val="0"/>
          <w:sz w:val="8"/>
          <w:szCs w:val="8"/>
        </w:rPr>
        <w:t xml:space="preserve"> </w:t>
      </w:r>
      <w:r w:rsidR="00355CC3" w:rsidRPr="003A6F8A">
        <w:rPr>
          <w:b w:val="0"/>
          <w:sz w:val="16"/>
          <w:szCs w:val="16"/>
        </w:rPr>
        <w:t>months</w:t>
      </w:r>
      <w:r w:rsidRPr="00355CC3">
        <w:rPr>
          <w:b w:val="0"/>
        </w:rPr>
        <w:t>.</w:t>
      </w:r>
      <w:r w:rsidR="00355CC3">
        <w:rPr>
          <w:b w:val="0"/>
        </w:rPr>
        <w:t xml:space="preserve"> </w:t>
      </w:r>
      <w:r w:rsidRPr="0058663C">
        <w:rPr>
          <w:b w:val="0"/>
        </w:rPr>
        <w:t>The parameter inputs for modeling the probability of delays in commercial operation are based on the Company’s estimates.</w:t>
      </w:r>
    </w:p>
    <w:p w14:paraId="761345EA" w14:textId="77777777" w:rsidR="002D1734" w:rsidRDefault="002D1734" w:rsidP="002D1734">
      <w:pPr>
        <w:spacing w:line="360" w:lineRule="auto"/>
        <w:jc w:val="both"/>
        <w:rPr>
          <w:rFonts w:asciiTheme="minorHAnsi" w:hAnsiTheme="minorHAnsi" w:cstheme="minorHAnsi"/>
          <w:sz w:val="22"/>
          <w:szCs w:val="22"/>
          <w:highlight w:val="yellow"/>
        </w:rPr>
      </w:pPr>
    </w:p>
    <w:p w14:paraId="0C7D1694" w14:textId="0037C1D2" w:rsidR="004056A0" w:rsidRDefault="004056A0" w:rsidP="002D1734">
      <w:pPr>
        <w:spacing w:line="360" w:lineRule="auto"/>
        <w:rPr>
          <w:rFonts w:asciiTheme="minorHAnsi" w:hAnsiTheme="minorHAnsi" w:cstheme="minorHAnsi"/>
          <w:sz w:val="22"/>
          <w:szCs w:val="22"/>
        </w:rPr>
      </w:pPr>
      <w:r w:rsidRPr="00223F38">
        <w:rPr>
          <w:rFonts w:asciiTheme="minorHAnsi" w:hAnsiTheme="minorHAnsi" w:cstheme="minorHAnsi"/>
          <w:sz w:val="22"/>
          <w:szCs w:val="22"/>
        </w:rPr>
        <w:t xml:space="preserve">Table </w:t>
      </w:r>
      <w:r w:rsidR="00B3054A" w:rsidRPr="00223F38">
        <w:rPr>
          <w:rFonts w:asciiTheme="minorHAnsi" w:hAnsiTheme="minorHAnsi" w:cstheme="minorHAnsi"/>
          <w:sz w:val="22"/>
          <w:szCs w:val="22"/>
        </w:rPr>
        <w:t>7</w:t>
      </w:r>
      <w:r w:rsidRPr="00223F38">
        <w:rPr>
          <w:rFonts w:asciiTheme="minorHAnsi" w:hAnsiTheme="minorHAnsi" w:cstheme="minorHAnsi"/>
          <w:sz w:val="22"/>
          <w:szCs w:val="22"/>
        </w:rPr>
        <w:t>.1.8-1: Specifications of Triangular Distributions for Delay</w:t>
      </w:r>
    </w:p>
    <w:tbl>
      <w:tblPr>
        <w:tblW w:w="8379" w:type="dxa"/>
        <w:jc w:val="center"/>
        <w:tblLook w:val="04A0" w:firstRow="1" w:lastRow="0" w:firstColumn="1" w:lastColumn="0" w:noHBand="0" w:noVBand="1"/>
      </w:tblPr>
      <w:tblGrid>
        <w:gridCol w:w="1636"/>
        <w:gridCol w:w="3275"/>
        <w:gridCol w:w="1191"/>
        <w:gridCol w:w="1191"/>
        <w:gridCol w:w="1191"/>
      </w:tblGrid>
      <w:tr w:rsidR="002D1734" w:rsidRPr="00E832A5" w14:paraId="577F32F8" w14:textId="77777777">
        <w:trPr>
          <w:trHeight w:val="285"/>
          <w:jc w:val="center"/>
        </w:trPr>
        <w:tc>
          <w:tcPr>
            <w:tcW w:w="1636" w:type="dxa"/>
            <w:tcBorders>
              <w:top w:val="nil"/>
              <w:left w:val="nil"/>
              <w:bottom w:val="nil"/>
              <w:right w:val="nil"/>
            </w:tcBorders>
            <w:shd w:val="clear" w:color="auto" w:fill="auto"/>
            <w:noWrap/>
            <w:vAlign w:val="center"/>
            <w:hideMark/>
          </w:tcPr>
          <w:p w14:paraId="4E48466A" w14:textId="77777777" w:rsidR="002D1734" w:rsidRPr="00E832A5" w:rsidRDefault="002D1734">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Class</w:t>
            </w:r>
          </w:p>
        </w:tc>
        <w:tc>
          <w:tcPr>
            <w:tcW w:w="3275" w:type="dxa"/>
            <w:tcBorders>
              <w:top w:val="nil"/>
              <w:left w:val="nil"/>
              <w:bottom w:val="nil"/>
              <w:right w:val="nil"/>
            </w:tcBorders>
            <w:shd w:val="clear" w:color="auto" w:fill="auto"/>
            <w:noWrap/>
            <w:vAlign w:val="center"/>
            <w:hideMark/>
          </w:tcPr>
          <w:p w14:paraId="45C23570" w14:textId="77777777" w:rsidR="002D1734" w:rsidRPr="00E832A5" w:rsidRDefault="002D1734">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Segment</w:t>
            </w:r>
          </w:p>
        </w:tc>
        <w:tc>
          <w:tcPr>
            <w:tcW w:w="1156" w:type="dxa"/>
            <w:tcBorders>
              <w:top w:val="nil"/>
              <w:left w:val="nil"/>
              <w:bottom w:val="nil"/>
              <w:right w:val="nil"/>
            </w:tcBorders>
            <w:shd w:val="clear" w:color="auto" w:fill="auto"/>
            <w:noWrap/>
            <w:vAlign w:val="center"/>
            <w:hideMark/>
          </w:tcPr>
          <w:p w14:paraId="4688D6DD" w14:textId="77777777" w:rsidR="002D1734" w:rsidRPr="00E832A5" w:rsidRDefault="002D1734">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Low</w:t>
            </w:r>
          </w:p>
        </w:tc>
        <w:tc>
          <w:tcPr>
            <w:tcW w:w="1156" w:type="dxa"/>
            <w:tcBorders>
              <w:top w:val="nil"/>
              <w:left w:val="nil"/>
              <w:bottom w:val="nil"/>
              <w:right w:val="nil"/>
            </w:tcBorders>
            <w:shd w:val="clear" w:color="auto" w:fill="auto"/>
            <w:noWrap/>
            <w:vAlign w:val="center"/>
            <w:hideMark/>
          </w:tcPr>
          <w:p w14:paraId="0AA7B993" w14:textId="77777777" w:rsidR="002D1734" w:rsidRPr="00E832A5" w:rsidRDefault="002D1734">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Mid</w:t>
            </w:r>
          </w:p>
        </w:tc>
        <w:tc>
          <w:tcPr>
            <w:tcW w:w="1156" w:type="dxa"/>
            <w:tcBorders>
              <w:top w:val="nil"/>
              <w:left w:val="nil"/>
              <w:bottom w:val="nil"/>
              <w:right w:val="nil"/>
            </w:tcBorders>
            <w:shd w:val="clear" w:color="auto" w:fill="auto"/>
            <w:noWrap/>
            <w:vAlign w:val="center"/>
            <w:hideMark/>
          </w:tcPr>
          <w:p w14:paraId="5F86F559" w14:textId="77777777" w:rsidR="002D1734" w:rsidRPr="00E832A5" w:rsidRDefault="002D1734">
            <w:pPr>
              <w:keepNext/>
              <w:keepLines/>
              <w:widowControl w:val="0"/>
              <w:spacing w:line="276" w:lineRule="auto"/>
              <w:jc w:val="both"/>
              <w:rPr>
                <w:rFonts w:asciiTheme="minorHAnsi" w:eastAsia="Microsoft YaHei" w:hAnsiTheme="minorHAnsi" w:cstheme="minorHAnsi"/>
                <w:i/>
                <w:iCs/>
                <w:color w:val="000000"/>
                <w:sz w:val="22"/>
                <w:szCs w:val="22"/>
                <w:u w:val="single"/>
              </w:rPr>
            </w:pPr>
            <w:r w:rsidRPr="00E832A5">
              <w:rPr>
                <w:rFonts w:asciiTheme="minorHAnsi" w:eastAsia="Microsoft YaHei" w:hAnsiTheme="minorHAnsi" w:cstheme="minorHAnsi"/>
                <w:i/>
                <w:iCs/>
                <w:color w:val="000000"/>
                <w:sz w:val="22"/>
                <w:szCs w:val="22"/>
                <w:u w:val="single"/>
              </w:rPr>
              <w:t>High</w:t>
            </w:r>
          </w:p>
        </w:tc>
      </w:tr>
      <w:tr w:rsidR="00114B4F" w:rsidRPr="00E832A5" w14:paraId="35009940" w14:textId="77777777" w:rsidTr="00114B4F">
        <w:trPr>
          <w:trHeight w:val="285"/>
          <w:jc w:val="center"/>
        </w:trPr>
        <w:tc>
          <w:tcPr>
            <w:tcW w:w="1636" w:type="dxa"/>
            <w:tcBorders>
              <w:top w:val="nil"/>
              <w:left w:val="nil"/>
              <w:bottom w:val="nil"/>
              <w:right w:val="nil"/>
            </w:tcBorders>
            <w:shd w:val="clear" w:color="auto" w:fill="auto"/>
            <w:noWrap/>
            <w:vAlign w:val="center"/>
            <w:hideMark/>
          </w:tcPr>
          <w:p w14:paraId="45D3338D" w14:textId="77777777" w:rsidR="00114B4F" w:rsidRPr="00E832A5" w:rsidRDefault="00114B4F" w:rsidP="00114B4F">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Commercial</w:t>
            </w:r>
          </w:p>
        </w:tc>
        <w:tc>
          <w:tcPr>
            <w:tcW w:w="3275" w:type="dxa"/>
            <w:tcBorders>
              <w:top w:val="nil"/>
              <w:left w:val="nil"/>
              <w:bottom w:val="nil"/>
              <w:right w:val="nil"/>
            </w:tcBorders>
            <w:shd w:val="clear" w:color="auto" w:fill="auto"/>
            <w:noWrap/>
            <w:vAlign w:val="center"/>
            <w:hideMark/>
          </w:tcPr>
          <w:p w14:paraId="526D91CC" w14:textId="77777777" w:rsidR="00114B4F" w:rsidRPr="00E832A5" w:rsidRDefault="00114B4F" w:rsidP="00114B4F">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56" w:type="dxa"/>
            <w:tcBorders>
              <w:top w:val="nil"/>
              <w:left w:val="nil"/>
              <w:bottom w:val="nil"/>
              <w:right w:val="nil"/>
            </w:tcBorders>
            <w:shd w:val="clear" w:color="auto" w:fill="auto"/>
            <w:noWrap/>
            <w:hideMark/>
          </w:tcPr>
          <w:p w14:paraId="507F1653" w14:textId="1605B6E6"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3688587A" w14:textId="7446552A"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hideMark/>
          </w:tcPr>
          <w:p w14:paraId="27B7107F" w14:textId="493E34A1"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r>
      <w:tr w:rsidR="00114B4F" w:rsidRPr="00E832A5" w14:paraId="613490C8" w14:textId="77777777" w:rsidTr="00114B4F">
        <w:trPr>
          <w:trHeight w:val="285"/>
          <w:jc w:val="center"/>
        </w:trPr>
        <w:tc>
          <w:tcPr>
            <w:tcW w:w="1636" w:type="dxa"/>
            <w:tcBorders>
              <w:top w:val="nil"/>
              <w:left w:val="nil"/>
              <w:bottom w:val="nil"/>
              <w:right w:val="nil"/>
            </w:tcBorders>
            <w:shd w:val="clear" w:color="auto" w:fill="auto"/>
            <w:noWrap/>
            <w:vAlign w:val="center"/>
            <w:hideMark/>
          </w:tcPr>
          <w:p w14:paraId="7304002B" w14:textId="77777777" w:rsidR="00114B4F" w:rsidRPr="00E832A5" w:rsidRDefault="00114B4F" w:rsidP="00114B4F">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Industrial</w:t>
            </w:r>
          </w:p>
        </w:tc>
        <w:tc>
          <w:tcPr>
            <w:tcW w:w="3275" w:type="dxa"/>
            <w:tcBorders>
              <w:top w:val="nil"/>
              <w:left w:val="nil"/>
              <w:bottom w:val="nil"/>
              <w:right w:val="nil"/>
            </w:tcBorders>
            <w:shd w:val="clear" w:color="auto" w:fill="auto"/>
            <w:noWrap/>
            <w:vAlign w:val="center"/>
          </w:tcPr>
          <w:p w14:paraId="7B875C3E" w14:textId="77777777" w:rsidR="00114B4F" w:rsidRPr="00E832A5" w:rsidRDefault="00114B4F" w:rsidP="00114B4F">
            <w:pPr>
              <w:keepNext/>
              <w:keepLines/>
              <w:widowControl w:val="0"/>
              <w:spacing w:line="276" w:lineRule="auto"/>
              <w:jc w:val="both"/>
              <w:rPr>
                <w:rFonts w:asciiTheme="minorHAnsi" w:eastAsia="Microsoft YaHei" w:hAnsiTheme="minorHAnsi" w:cstheme="minorHAnsi"/>
                <w:color w:val="000000"/>
                <w:sz w:val="22"/>
                <w:szCs w:val="22"/>
              </w:rPr>
            </w:pPr>
            <w:r w:rsidRPr="00E832A5">
              <w:rPr>
                <w:rFonts w:asciiTheme="minorHAnsi" w:eastAsia="Microsoft YaHei" w:hAnsiTheme="minorHAnsi" w:cstheme="minorHAnsi"/>
                <w:color w:val="000000"/>
                <w:sz w:val="22"/>
                <w:szCs w:val="22"/>
              </w:rPr>
              <w:t>All Segments</w:t>
            </w:r>
          </w:p>
        </w:tc>
        <w:tc>
          <w:tcPr>
            <w:tcW w:w="1156" w:type="dxa"/>
            <w:tcBorders>
              <w:top w:val="nil"/>
              <w:left w:val="nil"/>
              <w:bottom w:val="nil"/>
              <w:right w:val="nil"/>
            </w:tcBorders>
            <w:shd w:val="clear" w:color="auto" w:fill="auto"/>
            <w:noWrap/>
          </w:tcPr>
          <w:p w14:paraId="12EAA2A6" w14:textId="7275CE71"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tcPr>
          <w:p w14:paraId="4E6E71FA" w14:textId="2C7DA99B"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c>
          <w:tcPr>
            <w:tcW w:w="1156" w:type="dxa"/>
            <w:tcBorders>
              <w:top w:val="nil"/>
              <w:left w:val="nil"/>
              <w:bottom w:val="nil"/>
              <w:right w:val="nil"/>
            </w:tcBorders>
            <w:shd w:val="clear" w:color="auto" w:fill="auto"/>
            <w:noWrap/>
          </w:tcPr>
          <w:p w14:paraId="7E175C15" w14:textId="6BE07027" w:rsidR="00114B4F" w:rsidRPr="00453ED8" w:rsidRDefault="00114B4F" w:rsidP="00114B4F">
            <w:pPr>
              <w:keepNext/>
              <w:keepLines/>
              <w:widowControl w:val="0"/>
              <w:spacing w:line="276" w:lineRule="auto"/>
              <w:jc w:val="both"/>
              <w:rPr>
                <w:rFonts w:asciiTheme="minorHAnsi" w:eastAsia="Microsoft YaHei" w:hAnsiTheme="minorHAnsi" w:cstheme="minorHAnsi"/>
                <w:color w:val="000000"/>
                <w:sz w:val="22"/>
                <w:szCs w:val="22"/>
                <w:highlight w:val="yellow"/>
              </w:rPr>
            </w:pPr>
            <w:r w:rsidRPr="007160EC">
              <w:rPr>
                <w:rFonts w:asciiTheme="minorHAnsi" w:hAnsiTheme="minorHAnsi" w:cstheme="minorHAnsi"/>
                <w:bCs/>
                <w:sz w:val="22"/>
                <w:szCs w:val="22"/>
              </w:rPr>
              <w:t>REDACTED</w:t>
            </w:r>
          </w:p>
        </w:tc>
      </w:tr>
      <w:tr w:rsidR="002D1734" w:rsidRPr="00E832A5" w14:paraId="6D5F16CA" w14:textId="77777777">
        <w:trPr>
          <w:trHeight w:val="285"/>
          <w:jc w:val="center"/>
        </w:trPr>
        <w:tc>
          <w:tcPr>
            <w:tcW w:w="1636" w:type="dxa"/>
            <w:tcBorders>
              <w:top w:val="nil"/>
              <w:left w:val="nil"/>
              <w:bottom w:val="nil"/>
              <w:right w:val="nil"/>
            </w:tcBorders>
            <w:shd w:val="clear" w:color="auto" w:fill="auto"/>
            <w:noWrap/>
            <w:vAlign w:val="center"/>
          </w:tcPr>
          <w:p w14:paraId="38A32BF0" w14:textId="77777777" w:rsidR="002D1734" w:rsidRPr="00E832A5" w:rsidRDefault="002D1734">
            <w:pPr>
              <w:keepNext/>
              <w:keepLines/>
              <w:widowControl w:val="0"/>
              <w:spacing w:line="276" w:lineRule="auto"/>
              <w:jc w:val="both"/>
              <w:rPr>
                <w:rFonts w:asciiTheme="minorHAnsi" w:eastAsia="Microsoft YaHei" w:hAnsiTheme="minorHAnsi" w:cstheme="minorHAnsi"/>
                <w:color w:val="000000"/>
                <w:sz w:val="22"/>
                <w:szCs w:val="22"/>
              </w:rPr>
            </w:pPr>
          </w:p>
        </w:tc>
        <w:tc>
          <w:tcPr>
            <w:tcW w:w="3275" w:type="dxa"/>
            <w:tcBorders>
              <w:top w:val="nil"/>
              <w:left w:val="nil"/>
              <w:bottom w:val="nil"/>
              <w:right w:val="nil"/>
            </w:tcBorders>
            <w:shd w:val="clear" w:color="auto" w:fill="auto"/>
            <w:noWrap/>
            <w:vAlign w:val="center"/>
          </w:tcPr>
          <w:p w14:paraId="66D96383" w14:textId="77777777" w:rsidR="002D1734" w:rsidRPr="00E832A5" w:rsidRDefault="002D1734">
            <w:pPr>
              <w:keepNext/>
              <w:keepLines/>
              <w:widowControl w:val="0"/>
              <w:spacing w:line="276" w:lineRule="auto"/>
              <w:jc w:val="both"/>
              <w:rPr>
                <w:rFonts w:asciiTheme="minorHAnsi" w:eastAsia="Microsoft YaHei" w:hAnsiTheme="minorHAnsi" w:cstheme="minorHAnsi"/>
                <w:color w:val="000000"/>
                <w:sz w:val="22"/>
                <w:szCs w:val="22"/>
              </w:rPr>
            </w:pPr>
          </w:p>
        </w:tc>
        <w:tc>
          <w:tcPr>
            <w:tcW w:w="1156" w:type="dxa"/>
            <w:tcBorders>
              <w:top w:val="nil"/>
              <w:left w:val="nil"/>
              <w:bottom w:val="nil"/>
              <w:right w:val="nil"/>
            </w:tcBorders>
            <w:shd w:val="clear" w:color="auto" w:fill="auto"/>
            <w:noWrap/>
            <w:vAlign w:val="center"/>
          </w:tcPr>
          <w:p w14:paraId="3CCB83D0" w14:textId="77777777" w:rsidR="002D1734" w:rsidRPr="00E832A5" w:rsidRDefault="002D1734">
            <w:pPr>
              <w:keepNext/>
              <w:keepLines/>
              <w:widowControl w:val="0"/>
              <w:spacing w:line="276" w:lineRule="auto"/>
              <w:jc w:val="both"/>
              <w:rPr>
                <w:rFonts w:asciiTheme="minorHAnsi" w:eastAsia="Microsoft YaHei" w:hAnsiTheme="minorHAnsi" w:cstheme="minorHAnsi"/>
                <w:color w:val="000000"/>
              </w:rPr>
            </w:pPr>
          </w:p>
        </w:tc>
        <w:tc>
          <w:tcPr>
            <w:tcW w:w="1156" w:type="dxa"/>
            <w:tcBorders>
              <w:top w:val="nil"/>
              <w:left w:val="nil"/>
              <w:bottom w:val="nil"/>
              <w:right w:val="nil"/>
            </w:tcBorders>
            <w:shd w:val="clear" w:color="auto" w:fill="auto"/>
            <w:noWrap/>
            <w:vAlign w:val="center"/>
          </w:tcPr>
          <w:p w14:paraId="668C99A1" w14:textId="77777777" w:rsidR="002D1734" w:rsidRPr="00E832A5" w:rsidRDefault="002D1734">
            <w:pPr>
              <w:keepNext/>
              <w:keepLines/>
              <w:widowControl w:val="0"/>
              <w:spacing w:line="276" w:lineRule="auto"/>
              <w:jc w:val="both"/>
              <w:rPr>
                <w:rFonts w:asciiTheme="minorHAnsi" w:eastAsia="Microsoft YaHei" w:hAnsiTheme="minorHAnsi" w:cstheme="minorHAnsi"/>
                <w:color w:val="000000"/>
              </w:rPr>
            </w:pPr>
          </w:p>
        </w:tc>
        <w:tc>
          <w:tcPr>
            <w:tcW w:w="1156" w:type="dxa"/>
            <w:tcBorders>
              <w:top w:val="nil"/>
              <w:left w:val="nil"/>
              <w:bottom w:val="nil"/>
              <w:right w:val="nil"/>
            </w:tcBorders>
            <w:shd w:val="clear" w:color="auto" w:fill="auto"/>
            <w:noWrap/>
            <w:vAlign w:val="center"/>
          </w:tcPr>
          <w:p w14:paraId="3AEE91E0" w14:textId="77777777" w:rsidR="002D1734" w:rsidRPr="00E832A5" w:rsidRDefault="002D1734">
            <w:pPr>
              <w:keepNext/>
              <w:keepLines/>
              <w:widowControl w:val="0"/>
              <w:spacing w:line="276" w:lineRule="auto"/>
              <w:jc w:val="both"/>
              <w:rPr>
                <w:rFonts w:asciiTheme="minorHAnsi" w:eastAsia="Microsoft YaHei" w:hAnsiTheme="minorHAnsi" w:cstheme="minorHAnsi"/>
                <w:color w:val="000000"/>
              </w:rPr>
            </w:pPr>
          </w:p>
        </w:tc>
      </w:tr>
    </w:tbl>
    <w:p w14:paraId="257E70DC" w14:textId="409C62FF" w:rsidR="004056A0" w:rsidRDefault="00B3054A" w:rsidP="002D2723">
      <w:pPr>
        <w:pStyle w:val="Heading1"/>
        <w:jc w:val="left"/>
        <w:rPr>
          <w:rFonts w:ascii="Arial" w:hAnsi="Arial" w:cs="Arial"/>
          <w:b/>
          <w:color w:val="auto"/>
        </w:rPr>
      </w:pPr>
      <w:bookmarkStart w:id="430" w:name="_Toc188257165"/>
      <w:bookmarkStart w:id="431" w:name="_Toc188257380"/>
      <w:bookmarkStart w:id="432" w:name="_Toc188257604"/>
      <w:bookmarkStart w:id="433" w:name="_Toc189162613"/>
      <w:r w:rsidRPr="002D2723">
        <w:rPr>
          <w:rFonts w:ascii="Arial" w:hAnsi="Arial" w:cs="Arial"/>
          <w:b/>
          <w:color w:val="auto"/>
        </w:rPr>
        <w:t>7</w:t>
      </w:r>
      <w:r w:rsidR="004056A0" w:rsidRPr="002D2723">
        <w:rPr>
          <w:rFonts w:ascii="Arial" w:hAnsi="Arial" w:cs="Arial"/>
          <w:b/>
          <w:color w:val="auto"/>
        </w:rPr>
        <w:t>.2</w:t>
      </w:r>
      <w:r w:rsidR="004056A0" w:rsidRPr="002D2723">
        <w:rPr>
          <w:rFonts w:ascii="Arial" w:hAnsi="Arial" w:cs="Arial"/>
          <w:b/>
          <w:color w:val="auto"/>
        </w:rPr>
        <w:tab/>
        <w:t>MODELING THE PORTFOLIO</w:t>
      </w:r>
      <w:bookmarkEnd w:id="430"/>
      <w:bookmarkEnd w:id="431"/>
      <w:bookmarkEnd w:id="432"/>
      <w:bookmarkEnd w:id="433"/>
    </w:p>
    <w:bookmarkEnd w:id="394"/>
    <w:p w14:paraId="115E459B" w14:textId="77777777" w:rsidR="00D025DF" w:rsidRPr="00D025DF" w:rsidRDefault="00D025DF" w:rsidP="002D2723"/>
    <w:p w14:paraId="7177F306" w14:textId="77777777" w:rsidR="00D025DF" w:rsidRPr="002D2723" w:rsidRDefault="00D025DF" w:rsidP="002D2723"/>
    <w:p w14:paraId="7EBC6309" w14:textId="77777777" w:rsidR="004056A0" w:rsidRPr="0058663C" w:rsidRDefault="004056A0" w:rsidP="0058663C">
      <w:pPr>
        <w:keepNext/>
        <w:keepLines/>
        <w:spacing w:line="360" w:lineRule="auto"/>
        <w:jc w:val="both"/>
        <w:rPr>
          <w:b w:val="0"/>
        </w:rPr>
      </w:pPr>
      <w:r w:rsidRPr="0058663C">
        <w:rPr>
          <w:b w:val="0"/>
        </w:rPr>
        <w:t>The portfolio of large load projects being assessed by the Company</w:t>
      </w:r>
      <w:r w:rsidRPr="0058663C" w:rsidDel="002813B3">
        <w:rPr>
          <w:b w:val="0"/>
        </w:rPr>
        <w:t xml:space="preserve"> </w:t>
      </w:r>
      <w:r w:rsidRPr="0058663C">
        <w:rPr>
          <w:b w:val="0"/>
        </w:rPr>
        <w:t>consists of projects in numerous phases of development, ranging from early stages, such as the state selection or site selection phases, to those under construction and projected to be served by the Company. This creates multiple dimensions of uncertainty for each project that requires a Monte Carlo simulation model to quantify a range of expected load to serve.</w:t>
      </w:r>
    </w:p>
    <w:p w14:paraId="1C305C8A" w14:textId="77777777" w:rsidR="004056A0" w:rsidRPr="0058663C" w:rsidRDefault="004056A0" w:rsidP="0058663C">
      <w:pPr>
        <w:keepNext/>
        <w:keepLines/>
        <w:spacing w:line="360" w:lineRule="auto"/>
        <w:jc w:val="both"/>
        <w:rPr>
          <w:b w:val="0"/>
        </w:rPr>
      </w:pPr>
    </w:p>
    <w:p w14:paraId="249537EE" w14:textId="3CED0AEA" w:rsidR="002D1734" w:rsidRPr="0058663C" w:rsidRDefault="004056A0" w:rsidP="002D1734">
      <w:pPr>
        <w:spacing w:line="360" w:lineRule="auto"/>
        <w:jc w:val="both"/>
        <w:rPr>
          <w:b w:val="0"/>
        </w:rPr>
      </w:pPr>
      <w:r w:rsidRPr="0058663C">
        <w:rPr>
          <w:b w:val="0"/>
        </w:rPr>
        <w:t xml:space="preserve">Monte Carlo simulation is a mathematical technique that is used to estimate the possible outcomes of a portfolio with uncertain events. Unlike a normal forecasting model, Monte Carlo simulation predicts a set of outcomes based on an estimated range of values versus a set of fixed input values. The simulation assigns random values to input variables with uncertainty based on probability distributions such as </w:t>
      </w:r>
      <w:r w:rsidR="00810935">
        <w:rPr>
          <w:b w:val="0"/>
          <w:bCs/>
        </w:rPr>
        <w:t xml:space="preserve">the </w:t>
      </w:r>
      <w:r w:rsidRPr="0058663C">
        <w:rPr>
          <w:b w:val="0"/>
        </w:rPr>
        <w:t xml:space="preserve">triangular distributions mentioned in Section </w:t>
      </w:r>
      <w:r w:rsidR="00810935">
        <w:rPr>
          <w:b w:val="0"/>
          <w:bCs/>
        </w:rPr>
        <w:t>7.1.7</w:t>
      </w:r>
      <w:r w:rsidRPr="0058663C">
        <w:rPr>
          <w:b w:val="0"/>
        </w:rPr>
        <w:t xml:space="preserve"> and calculates an outcome. It then repeats the process over and </w:t>
      </w:r>
      <w:r w:rsidRPr="0058663C">
        <w:rPr>
          <w:b w:val="0"/>
        </w:rPr>
        <w:lastRenderedPageBreak/>
        <w:t>over (at least thousands of times typically), each time using a different set of random inputs, to produce a large number of outcomes.</w:t>
      </w:r>
    </w:p>
    <w:p w14:paraId="6B90DB5D" w14:textId="77777777" w:rsidR="002D1734" w:rsidRDefault="002D1734" w:rsidP="002D1734">
      <w:pPr>
        <w:spacing w:line="360" w:lineRule="auto"/>
        <w:jc w:val="both"/>
        <w:rPr>
          <w:rFonts w:asciiTheme="minorHAnsi" w:hAnsiTheme="minorHAnsi" w:cstheme="minorHAnsi"/>
          <w:sz w:val="22"/>
          <w:szCs w:val="22"/>
        </w:rPr>
      </w:pPr>
    </w:p>
    <w:p w14:paraId="64BCA946" w14:textId="4BABCBC9" w:rsidR="004056A0" w:rsidRPr="00E345A0" w:rsidRDefault="002D1734" w:rsidP="00E345A0">
      <w:pPr>
        <w:pStyle w:val="Heading2"/>
        <w:jc w:val="left"/>
        <w:rPr>
          <w:rFonts w:ascii="Arial" w:hAnsi="Arial" w:cs="Arial"/>
          <w:b/>
          <w:color w:val="auto"/>
          <w:sz w:val="20"/>
          <w:szCs w:val="20"/>
        </w:rPr>
      </w:pPr>
      <w:bookmarkStart w:id="434" w:name="_Toc188257166"/>
      <w:bookmarkStart w:id="435" w:name="_Toc188257381"/>
      <w:bookmarkStart w:id="436" w:name="_Toc188257605"/>
      <w:bookmarkStart w:id="437" w:name="_Toc189162614"/>
      <w:r w:rsidRPr="00E345A0">
        <w:rPr>
          <w:rFonts w:ascii="Arial" w:hAnsi="Arial" w:cs="Arial"/>
          <w:b/>
          <w:color w:val="auto"/>
          <w:sz w:val="20"/>
          <w:szCs w:val="20"/>
        </w:rPr>
        <w:t>7</w:t>
      </w:r>
      <w:r w:rsidR="004056A0" w:rsidRPr="00E345A0">
        <w:rPr>
          <w:rFonts w:ascii="Arial" w:hAnsi="Arial" w:cs="Arial"/>
          <w:b/>
          <w:color w:val="auto"/>
          <w:sz w:val="20"/>
          <w:szCs w:val="20"/>
        </w:rPr>
        <w:t xml:space="preserve">.2.1 </w:t>
      </w:r>
      <w:r w:rsidR="00775830">
        <w:rPr>
          <w:rFonts w:ascii="Arial" w:hAnsi="Arial" w:cs="Arial"/>
          <w:b/>
          <w:color w:val="auto"/>
          <w:sz w:val="20"/>
          <w:szCs w:val="20"/>
        </w:rPr>
        <w:tab/>
      </w:r>
      <w:r w:rsidR="004056A0" w:rsidRPr="00E345A0">
        <w:rPr>
          <w:rFonts w:ascii="Arial" w:hAnsi="Arial" w:cs="Arial"/>
          <w:b/>
          <w:color w:val="auto"/>
          <w:sz w:val="20"/>
          <w:szCs w:val="20"/>
        </w:rPr>
        <w:t>Model Implementation</w:t>
      </w:r>
      <w:bookmarkEnd w:id="434"/>
      <w:bookmarkEnd w:id="435"/>
      <w:bookmarkEnd w:id="436"/>
      <w:bookmarkEnd w:id="437"/>
    </w:p>
    <w:p w14:paraId="08D499F8" w14:textId="77777777" w:rsidR="002D1734" w:rsidRPr="0058663C" w:rsidRDefault="002D1734" w:rsidP="0058663C"/>
    <w:p w14:paraId="34B6C69C" w14:textId="1D3631D8" w:rsidR="004056A0" w:rsidRPr="0058663C" w:rsidRDefault="004056A0" w:rsidP="0058663C">
      <w:pPr>
        <w:spacing w:line="360" w:lineRule="auto"/>
        <w:jc w:val="both"/>
        <w:rPr>
          <w:b w:val="0"/>
        </w:rPr>
      </w:pPr>
      <w:r w:rsidRPr="0058663C">
        <w:rPr>
          <w:b w:val="0"/>
        </w:rPr>
        <w:t xml:space="preserve">The model described </w:t>
      </w:r>
      <w:r w:rsidR="00435AFC">
        <w:rPr>
          <w:b w:val="0"/>
        </w:rPr>
        <w:t>herein</w:t>
      </w:r>
      <w:r w:rsidRPr="0058663C">
        <w:rPr>
          <w:b w:val="0"/>
        </w:rPr>
        <w:t xml:space="preserve"> is implemented in Excel with a third-party add-in called @Risk. @Risk allows </w:t>
      </w:r>
      <w:r w:rsidR="00012C19">
        <w:rPr>
          <w:b w:val="0"/>
          <w:bCs/>
        </w:rPr>
        <w:t>the incorporation of</w:t>
      </w:r>
      <w:r w:rsidR="00012C19" w:rsidRPr="0058663C">
        <w:rPr>
          <w:b w:val="0"/>
          <w:bCs/>
        </w:rPr>
        <w:t xml:space="preserve"> </w:t>
      </w:r>
      <w:r w:rsidRPr="0058663C">
        <w:rPr>
          <w:b w:val="0"/>
        </w:rPr>
        <w:t>probability distributions into an Excel spreadsheet so that Monte Carlo simulation and analysis can be done to track the range of potential outcomes and calculate a wide array of statistics (average, standard deviation, percentiles, etc.).</w:t>
      </w:r>
    </w:p>
    <w:p w14:paraId="62EE22E4" w14:textId="77777777" w:rsidR="004056A0" w:rsidRPr="0058663C" w:rsidRDefault="004056A0" w:rsidP="0058663C">
      <w:pPr>
        <w:spacing w:line="360" w:lineRule="auto"/>
        <w:jc w:val="both"/>
        <w:rPr>
          <w:b w:val="0"/>
        </w:rPr>
      </w:pPr>
    </w:p>
    <w:p w14:paraId="64BD64F6" w14:textId="53D7491A" w:rsidR="004056A0" w:rsidRDefault="004056A0" w:rsidP="002D2723">
      <w:pPr>
        <w:spacing w:line="360" w:lineRule="auto"/>
        <w:jc w:val="both"/>
        <w:rPr>
          <w:b w:val="0"/>
        </w:rPr>
      </w:pPr>
      <w:r w:rsidRPr="0058663C">
        <w:rPr>
          <w:b w:val="0"/>
        </w:rPr>
        <w:t xml:space="preserve">For each project in the model, there are three random numbers being drawn for success/failure, metered/announced ratio, and delay in COD from the distributions described in Section </w:t>
      </w:r>
      <w:r w:rsidR="00EB1002">
        <w:rPr>
          <w:b w:val="0"/>
          <w:bCs/>
        </w:rPr>
        <w:t>7.1</w:t>
      </w:r>
      <w:r w:rsidRPr="0058663C">
        <w:rPr>
          <w:b w:val="0"/>
        </w:rPr>
        <w:t>. For a particular draw, if the success/failure random number is 0, or failure, the load of the project is 0 and the project is excluded from the portfolio. If the success/failure random number is 1, or success, the announced load ramp-up gets scaled by the metered/announced ratio random number and then shifted according to the timing of the ramp-up by the number of months determined by the delay in COD random number. Finally, this adjusted and shifted ramp-up is aggregated year by year into the portfolio level.</w:t>
      </w:r>
    </w:p>
    <w:p w14:paraId="20785806" w14:textId="77777777" w:rsidR="00163BF3" w:rsidRPr="0058663C" w:rsidRDefault="00163BF3" w:rsidP="0058663C">
      <w:pPr>
        <w:spacing w:line="360" w:lineRule="auto"/>
        <w:jc w:val="both"/>
        <w:rPr>
          <w:b w:val="0"/>
        </w:rPr>
      </w:pPr>
    </w:p>
    <w:p w14:paraId="50D70CEE" w14:textId="2E630595" w:rsidR="004056A0" w:rsidRPr="00E345A0" w:rsidRDefault="002D1734" w:rsidP="00E345A0">
      <w:pPr>
        <w:pStyle w:val="Heading2"/>
        <w:jc w:val="left"/>
        <w:rPr>
          <w:rFonts w:ascii="Arial" w:hAnsi="Arial" w:cs="Arial"/>
          <w:b/>
          <w:color w:val="auto"/>
          <w:sz w:val="20"/>
          <w:szCs w:val="20"/>
        </w:rPr>
      </w:pPr>
      <w:bookmarkStart w:id="438" w:name="_Toc188257167"/>
      <w:bookmarkStart w:id="439" w:name="_Toc188257382"/>
      <w:bookmarkStart w:id="440" w:name="_Toc188257606"/>
      <w:bookmarkStart w:id="441" w:name="_Toc189162615"/>
      <w:r w:rsidRPr="00E345A0">
        <w:rPr>
          <w:rFonts w:ascii="Arial" w:hAnsi="Arial" w:cs="Arial"/>
          <w:b/>
          <w:color w:val="auto"/>
          <w:sz w:val="20"/>
          <w:szCs w:val="20"/>
        </w:rPr>
        <w:t>7</w:t>
      </w:r>
      <w:r w:rsidR="004056A0" w:rsidRPr="00E345A0">
        <w:rPr>
          <w:rFonts w:ascii="Arial" w:hAnsi="Arial" w:cs="Arial"/>
          <w:b/>
          <w:color w:val="auto"/>
          <w:sz w:val="20"/>
          <w:szCs w:val="20"/>
        </w:rPr>
        <w:t xml:space="preserve">.2.2 </w:t>
      </w:r>
      <w:r w:rsidR="00775830">
        <w:rPr>
          <w:rFonts w:ascii="Arial" w:hAnsi="Arial" w:cs="Arial"/>
          <w:b/>
          <w:color w:val="auto"/>
          <w:sz w:val="20"/>
          <w:szCs w:val="20"/>
        </w:rPr>
        <w:tab/>
      </w:r>
      <w:r w:rsidR="004056A0" w:rsidRPr="00E345A0">
        <w:rPr>
          <w:rFonts w:ascii="Arial" w:hAnsi="Arial" w:cs="Arial"/>
          <w:b/>
          <w:color w:val="auto"/>
          <w:sz w:val="20"/>
          <w:szCs w:val="20"/>
        </w:rPr>
        <w:t>Simulation Results</w:t>
      </w:r>
      <w:bookmarkEnd w:id="438"/>
      <w:bookmarkEnd w:id="439"/>
      <w:bookmarkEnd w:id="440"/>
      <w:bookmarkEnd w:id="441"/>
    </w:p>
    <w:p w14:paraId="6517DEF3" w14:textId="6B8249F6" w:rsidR="004056A0" w:rsidRPr="00913BB9" w:rsidRDefault="007B07BF" w:rsidP="0058663C">
      <w:pPr>
        <w:spacing w:before="240" w:line="360" w:lineRule="auto"/>
        <w:jc w:val="both"/>
        <w:rPr>
          <w:b w:val="0"/>
        </w:rPr>
      </w:pPr>
      <w:r>
        <w:rPr>
          <w:b w:val="0"/>
        </w:rPr>
        <w:t>T</w:t>
      </w:r>
      <w:r w:rsidR="004056A0" w:rsidRPr="00913BB9">
        <w:rPr>
          <w:b w:val="0"/>
        </w:rPr>
        <w:t xml:space="preserve">he procedure described in </w:t>
      </w:r>
      <w:r w:rsidR="007B0160">
        <w:rPr>
          <w:b w:val="0"/>
        </w:rPr>
        <w:t>S</w:t>
      </w:r>
      <w:r w:rsidR="004056A0" w:rsidRPr="00913BB9">
        <w:rPr>
          <w:b w:val="0"/>
        </w:rPr>
        <w:t xml:space="preserve">ection </w:t>
      </w:r>
      <w:r w:rsidR="00CB329C" w:rsidRPr="00913BB9">
        <w:rPr>
          <w:b w:val="0"/>
          <w:bCs/>
        </w:rPr>
        <w:t>7.2.</w:t>
      </w:r>
      <w:r w:rsidR="007C1181" w:rsidRPr="00913BB9">
        <w:rPr>
          <w:b w:val="0"/>
          <w:bCs/>
        </w:rPr>
        <w:t>1</w:t>
      </w:r>
      <w:r w:rsidR="004056A0" w:rsidRPr="00913BB9">
        <w:rPr>
          <w:b w:val="0"/>
        </w:rPr>
        <w:t xml:space="preserve"> is repeated 100,000 times. Then, these 100,000 load iterations get ranked for each year in order to calculate load percentiles, which helps the Company to understand the load range and compare the likelihood of load outcomes for the portfolio. The table below shows the external adjustments included in </w:t>
      </w:r>
      <w:r>
        <w:rPr>
          <w:b w:val="0"/>
        </w:rPr>
        <w:t>Budget</w:t>
      </w:r>
      <w:r w:rsidRPr="00913BB9">
        <w:rPr>
          <w:b w:val="0"/>
        </w:rPr>
        <w:t xml:space="preserve"> 20</w:t>
      </w:r>
      <w:r>
        <w:rPr>
          <w:b w:val="0"/>
        </w:rPr>
        <w:t>25</w:t>
      </w:r>
      <w:r w:rsidR="004056A0" w:rsidRPr="00913BB9">
        <w:rPr>
          <w:b w:val="0"/>
        </w:rPr>
        <w:t xml:space="preserve">, which are consistent with the </w:t>
      </w:r>
      <w:r w:rsidR="00155EA5">
        <w:rPr>
          <w:b w:val="0"/>
        </w:rPr>
        <w:t>50</w:t>
      </w:r>
      <w:r w:rsidR="00155EA5" w:rsidRPr="00913BB9">
        <w:rPr>
          <w:b w:val="0"/>
          <w:vertAlign w:val="superscript"/>
        </w:rPr>
        <w:t xml:space="preserve">th </w:t>
      </w:r>
      <w:r w:rsidR="004056A0" w:rsidRPr="00913BB9">
        <w:rPr>
          <w:b w:val="0"/>
        </w:rPr>
        <w:t xml:space="preserve">percentile of simulated load. </w:t>
      </w:r>
    </w:p>
    <w:p w14:paraId="5FD0FDF9" w14:textId="77777777" w:rsidR="004056A0" w:rsidRPr="00E832A5" w:rsidRDefault="004056A0" w:rsidP="004056A0">
      <w:pPr>
        <w:spacing w:line="276" w:lineRule="auto"/>
        <w:rPr>
          <w:rFonts w:asciiTheme="minorHAnsi" w:hAnsiTheme="minorHAnsi" w:cstheme="minorHAnsi"/>
          <w:sz w:val="22"/>
          <w:szCs w:val="22"/>
        </w:rPr>
      </w:pPr>
    </w:p>
    <w:p w14:paraId="4B0AA5AA" w14:textId="77777777" w:rsidR="0034038B" w:rsidRDefault="0034038B">
      <w:pPr>
        <w:spacing w:after="200" w:line="276" w:lineRule="auto"/>
        <w:jc w:val="left"/>
        <w:rPr>
          <w:rFonts w:asciiTheme="minorHAnsi" w:hAnsiTheme="minorHAnsi" w:cstheme="minorHAnsi"/>
          <w:sz w:val="22"/>
          <w:szCs w:val="22"/>
        </w:rPr>
      </w:pPr>
      <w:r>
        <w:rPr>
          <w:rFonts w:asciiTheme="minorHAnsi" w:hAnsiTheme="minorHAnsi" w:cstheme="minorHAnsi"/>
          <w:sz w:val="22"/>
          <w:szCs w:val="22"/>
        </w:rPr>
        <w:br w:type="page"/>
      </w:r>
    </w:p>
    <w:p w14:paraId="6FAC104C" w14:textId="7E6854E8" w:rsidR="004056A0" w:rsidRDefault="004056A0" w:rsidP="00545A56">
      <w:pPr>
        <w:spacing w:after="240" w:line="276" w:lineRule="auto"/>
        <w:jc w:val="left"/>
        <w:rPr>
          <w:rFonts w:asciiTheme="minorHAnsi" w:hAnsiTheme="minorHAnsi" w:cstheme="minorHAnsi"/>
          <w:sz w:val="22"/>
          <w:szCs w:val="22"/>
        </w:rPr>
      </w:pPr>
      <w:r w:rsidRPr="00913BB9">
        <w:rPr>
          <w:rFonts w:asciiTheme="minorHAnsi" w:hAnsiTheme="minorHAnsi" w:cstheme="minorHAnsi"/>
          <w:sz w:val="22"/>
          <w:szCs w:val="22"/>
        </w:rPr>
        <w:lastRenderedPageBreak/>
        <w:t xml:space="preserve">Table </w:t>
      </w:r>
      <w:r w:rsidR="002D1734" w:rsidRPr="00913BB9">
        <w:rPr>
          <w:rFonts w:asciiTheme="minorHAnsi" w:hAnsiTheme="minorHAnsi" w:cstheme="minorHAnsi"/>
          <w:sz w:val="22"/>
          <w:szCs w:val="22"/>
        </w:rPr>
        <w:t>7</w:t>
      </w:r>
      <w:r w:rsidRPr="00913BB9">
        <w:rPr>
          <w:rFonts w:asciiTheme="minorHAnsi" w:hAnsiTheme="minorHAnsi" w:cstheme="minorHAnsi"/>
          <w:sz w:val="22"/>
          <w:szCs w:val="22"/>
        </w:rPr>
        <w:t xml:space="preserve">.2.1 </w:t>
      </w:r>
      <w:r w:rsidR="00155EA5">
        <w:rPr>
          <w:rFonts w:asciiTheme="minorHAnsi" w:hAnsiTheme="minorHAnsi" w:cstheme="minorHAnsi"/>
          <w:sz w:val="22"/>
          <w:szCs w:val="22"/>
        </w:rPr>
        <w:t>Budget 2025</w:t>
      </w:r>
      <w:r w:rsidRPr="00913BB9">
        <w:rPr>
          <w:rFonts w:asciiTheme="minorHAnsi" w:hAnsiTheme="minorHAnsi" w:cstheme="minorHAnsi"/>
          <w:sz w:val="22"/>
          <w:szCs w:val="22"/>
        </w:rPr>
        <w:t xml:space="preserve"> External </w:t>
      </w:r>
      <w:r w:rsidR="00EB18C8">
        <w:rPr>
          <w:rFonts w:asciiTheme="minorHAnsi" w:hAnsiTheme="minorHAnsi" w:cstheme="minorHAnsi"/>
          <w:sz w:val="22"/>
          <w:szCs w:val="22"/>
        </w:rPr>
        <w:t xml:space="preserve">Peak </w:t>
      </w:r>
      <w:r w:rsidRPr="00913BB9">
        <w:rPr>
          <w:rFonts w:asciiTheme="minorHAnsi" w:hAnsiTheme="minorHAnsi" w:cstheme="minorHAnsi"/>
          <w:sz w:val="22"/>
          <w:szCs w:val="22"/>
        </w:rPr>
        <w:t>Adjustments</w:t>
      </w:r>
      <w:r w:rsidR="00EB18C8">
        <w:rPr>
          <w:rFonts w:asciiTheme="minorHAnsi" w:hAnsiTheme="minorHAnsi" w:cstheme="minorHAnsi"/>
          <w:sz w:val="22"/>
          <w:szCs w:val="22"/>
        </w:rPr>
        <w:t xml:space="preserve"> for Large Loads</w:t>
      </w:r>
    </w:p>
    <w:p w14:paraId="4F4E4BF8" w14:textId="68FAE54A" w:rsidR="00635489" w:rsidRDefault="00E25405" w:rsidP="004056A0">
      <w:pPr>
        <w:spacing w:line="276" w:lineRule="auto"/>
        <w:rPr>
          <w:rFonts w:asciiTheme="minorHAnsi" w:hAnsiTheme="minorHAnsi" w:cstheme="minorHAnsi"/>
          <w:sz w:val="22"/>
          <w:szCs w:val="22"/>
        </w:rPr>
      </w:pPr>
      <w:r w:rsidRPr="00E25405">
        <w:rPr>
          <w:rFonts w:asciiTheme="minorHAnsi" w:hAnsiTheme="minorHAnsi" w:cstheme="minorHAnsi"/>
          <w:noProof/>
          <w:sz w:val="22"/>
          <w:szCs w:val="22"/>
        </w:rPr>
        <w:drawing>
          <wp:inline distT="0" distB="0" distL="0" distR="0" wp14:anchorId="096A1863" wp14:editId="5A345AD7">
            <wp:extent cx="1371600" cy="4276725"/>
            <wp:effectExtent l="0" t="0" r="0" b="0"/>
            <wp:docPr id="1637401849"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371600" cy="4276725"/>
                    </a:xfrm>
                    <a:prstGeom prst="rect">
                      <a:avLst/>
                    </a:prstGeom>
                    <a:noFill/>
                    <a:ln>
                      <a:noFill/>
                    </a:ln>
                  </pic:spPr>
                </pic:pic>
              </a:graphicData>
            </a:graphic>
          </wp:inline>
        </w:drawing>
      </w:r>
    </w:p>
    <w:p w14:paraId="70A2911D" w14:textId="77777777" w:rsidR="00635489" w:rsidRPr="00E832A5" w:rsidRDefault="00635489" w:rsidP="004056A0">
      <w:pPr>
        <w:spacing w:line="276" w:lineRule="auto"/>
        <w:rPr>
          <w:rFonts w:asciiTheme="minorHAnsi" w:hAnsiTheme="minorHAnsi" w:cstheme="minorHAnsi"/>
          <w:b w:val="0"/>
          <w:bCs/>
          <w:sz w:val="22"/>
          <w:szCs w:val="22"/>
        </w:rPr>
      </w:pPr>
    </w:p>
    <w:p w14:paraId="7E345D91" w14:textId="4C5CFAB3" w:rsidR="004056A0" w:rsidRPr="002D2723" w:rsidRDefault="002D1734" w:rsidP="002D2723">
      <w:pPr>
        <w:pStyle w:val="Heading1"/>
        <w:jc w:val="left"/>
        <w:rPr>
          <w:rFonts w:ascii="Arial" w:hAnsi="Arial" w:cs="Arial"/>
          <w:b/>
          <w:color w:val="auto"/>
        </w:rPr>
      </w:pPr>
      <w:bookmarkStart w:id="442" w:name="_Toc188257168"/>
      <w:bookmarkStart w:id="443" w:name="_Toc188257383"/>
      <w:bookmarkStart w:id="444" w:name="_Toc188257607"/>
      <w:bookmarkStart w:id="445" w:name="_Toc189162616"/>
      <w:r w:rsidRPr="002D2723">
        <w:rPr>
          <w:rFonts w:ascii="Arial" w:hAnsi="Arial" w:cs="Arial"/>
          <w:b/>
          <w:color w:val="auto"/>
        </w:rPr>
        <w:t>7</w:t>
      </w:r>
      <w:r w:rsidR="004056A0" w:rsidRPr="002D2723">
        <w:rPr>
          <w:rFonts w:ascii="Arial" w:hAnsi="Arial" w:cs="Arial"/>
          <w:b/>
          <w:color w:val="auto"/>
        </w:rPr>
        <w:t>.3 TRIANGULAR DISTRIBUTION</w:t>
      </w:r>
      <w:bookmarkEnd w:id="442"/>
      <w:bookmarkEnd w:id="443"/>
      <w:bookmarkEnd w:id="444"/>
      <w:bookmarkEnd w:id="445"/>
    </w:p>
    <w:p w14:paraId="6A678AAD" w14:textId="77777777" w:rsidR="00D025DF" w:rsidRDefault="00D025DF" w:rsidP="0058663C">
      <w:pPr>
        <w:keepNext/>
        <w:keepLines/>
        <w:spacing w:line="360" w:lineRule="auto"/>
        <w:jc w:val="both"/>
        <w:rPr>
          <w:rFonts w:asciiTheme="minorHAnsi" w:hAnsiTheme="minorHAnsi" w:cstheme="minorHAnsi"/>
          <w:b w:val="0"/>
          <w:bCs/>
          <w:sz w:val="22"/>
          <w:szCs w:val="22"/>
        </w:rPr>
      </w:pPr>
    </w:p>
    <w:p w14:paraId="39F683E1" w14:textId="02D96E42" w:rsidR="004056A0" w:rsidRPr="002C6740" w:rsidRDefault="004056A0" w:rsidP="0058663C">
      <w:pPr>
        <w:keepNext/>
        <w:keepLines/>
        <w:spacing w:line="360" w:lineRule="auto"/>
        <w:jc w:val="both"/>
        <w:rPr>
          <w:b w:val="0"/>
        </w:rPr>
      </w:pPr>
      <w:r w:rsidRPr="002C6740">
        <w:rPr>
          <w:b w:val="0"/>
        </w:rPr>
        <w:t>The triangular distribution is a continuous probability distribution with the following parameters:</w:t>
      </w:r>
    </w:p>
    <w:p w14:paraId="412E207C" w14:textId="77777777" w:rsidR="004056A0" w:rsidRPr="002C6740" w:rsidRDefault="004056A0" w:rsidP="0058663C">
      <w:pPr>
        <w:keepNext/>
        <w:keepLines/>
        <w:spacing w:line="360" w:lineRule="auto"/>
        <w:jc w:val="both"/>
        <w:rPr>
          <w:b w:val="0"/>
        </w:rPr>
      </w:pPr>
      <w:r w:rsidRPr="002C6740">
        <w:rPr>
          <w:b w:val="0"/>
        </w:rPr>
        <w:tab/>
        <w:t xml:space="preserve">a: a </w:t>
      </w:r>
      <w:r w:rsidRPr="002C6740">
        <w:rPr>
          <w:rFonts w:ascii="Cambria Math" w:hAnsi="Cambria Math" w:cs="Cambria Math"/>
          <w:b w:val="0"/>
        </w:rPr>
        <w:t>∈</w:t>
      </w:r>
      <w:r w:rsidRPr="002C6740">
        <w:rPr>
          <w:b w:val="0"/>
        </w:rPr>
        <w:t xml:space="preserve"> (-∞, ∞)</w:t>
      </w:r>
      <w:r w:rsidRPr="002C6740">
        <w:rPr>
          <w:b w:val="0"/>
        </w:rPr>
        <w:tab/>
      </w:r>
      <w:r w:rsidRPr="002C6740">
        <w:rPr>
          <w:b w:val="0"/>
        </w:rPr>
        <w:tab/>
      </w:r>
    </w:p>
    <w:p w14:paraId="21A11568" w14:textId="77777777" w:rsidR="004056A0" w:rsidRPr="002C6740" w:rsidRDefault="004056A0" w:rsidP="0058663C">
      <w:pPr>
        <w:keepNext/>
        <w:keepLines/>
        <w:spacing w:line="360" w:lineRule="auto"/>
        <w:jc w:val="both"/>
        <w:rPr>
          <w:b w:val="0"/>
        </w:rPr>
      </w:pPr>
      <w:r w:rsidRPr="002C6740">
        <w:rPr>
          <w:b w:val="0"/>
        </w:rPr>
        <w:tab/>
        <w:t>b: a &lt; b</w:t>
      </w:r>
    </w:p>
    <w:p w14:paraId="3BBF00E3" w14:textId="77777777" w:rsidR="004056A0" w:rsidRPr="002C6740" w:rsidRDefault="004056A0" w:rsidP="0058663C">
      <w:pPr>
        <w:keepNext/>
        <w:keepLines/>
        <w:spacing w:line="360" w:lineRule="auto"/>
        <w:jc w:val="both"/>
        <w:rPr>
          <w:b w:val="0"/>
        </w:rPr>
      </w:pPr>
      <w:r w:rsidRPr="002C6740">
        <w:rPr>
          <w:b w:val="0"/>
        </w:rPr>
        <w:tab/>
        <w:t>c: a ≤ c ≤ b</w:t>
      </w:r>
    </w:p>
    <w:p w14:paraId="2991D098" w14:textId="77777777" w:rsidR="004056A0" w:rsidRPr="002C6740" w:rsidRDefault="004056A0" w:rsidP="0058663C">
      <w:pPr>
        <w:keepNext/>
        <w:keepLines/>
        <w:spacing w:line="360" w:lineRule="auto"/>
        <w:jc w:val="both"/>
        <w:rPr>
          <w:b w:val="0"/>
        </w:rPr>
      </w:pPr>
    </w:p>
    <w:p w14:paraId="59FC1FAC" w14:textId="77777777" w:rsidR="004056A0" w:rsidRPr="002C6740" w:rsidRDefault="004056A0" w:rsidP="0058663C">
      <w:pPr>
        <w:keepNext/>
        <w:keepLines/>
        <w:spacing w:line="360" w:lineRule="auto"/>
        <w:jc w:val="both"/>
        <w:rPr>
          <w:b w:val="0"/>
        </w:rPr>
      </w:pPr>
      <w:r w:rsidRPr="002C6740">
        <w:rPr>
          <w:b w:val="0"/>
        </w:rPr>
        <w:t xml:space="preserve">In the case of metered versus announced uncertainty, </w:t>
      </w:r>
      <w:r w:rsidRPr="002C6740">
        <w:rPr>
          <w:b w:val="0"/>
          <w:i/>
        </w:rPr>
        <w:t>a</w:t>
      </w:r>
      <w:r w:rsidRPr="002C6740">
        <w:rPr>
          <w:b w:val="0"/>
        </w:rPr>
        <w:t xml:space="preserve"> represents the minimum metered/announced ratio, </w:t>
      </w:r>
      <w:r w:rsidRPr="002C6740">
        <w:rPr>
          <w:b w:val="0"/>
          <w:i/>
        </w:rPr>
        <w:t>b</w:t>
      </w:r>
      <w:r w:rsidRPr="002C6740">
        <w:rPr>
          <w:b w:val="0"/>
        </w:rPr>
        <w:t xml:space="preserve"> represents maximum metered/announced ratio and </w:t>
      </w:r>
      <w:r w:rsidRPr="002C6740">
        <w:rPr>
          <w:b w:val="0"/>
          <w:i/>
        </w:rPr>
        <w:t>c</w:t>
      </w:r>
      <w:r w:rsidRPr="002C6740">
        <w:rPr>
          <w:b w:val="0"/>
        </w:rPr>
        <w:t xml:space="preserve"> represents the most likely metered/announced ratio. </w:t>
      </w:r>
    </w:p>
    <w:p w14:paraId="3857FC20" w14:textId="77777777" w:rsidR="004056A0" w:rsidRPr="0058663C" w:rsidRDefault="004056A0" w:rsidP="004056A0">
      <w:pPr>
        <w:spacing w:line="276" w:lineRule="auto"/>
        <w:jc w:val="both"/>
        <w:rPr>
          <w:rFonts w:asciiTheme="minorHAnsi" w:hAnsiTheme="minorHAnsi" w:cstheme="minorHAnsi"/>
          <w:b w:val="0"/>
        </w:rPr>
      </w:pPr>
    </w:p>
    <w:p w14:paraId="22702E05" w14:textId="7B4AD50A" w:rsidR="004056A0" w:rsidRPr="000740C3" w:rsidRDefault="004056A0" w:rsidP="004056A0">
      <w:pPr>
        <w:keepNext/>
        <w:keepLines/>
        <w:spacing w:after="240" w:line="276" w:lineRule="auto"/>
        <w:rPr>
          <w:rFonts w:asciiTheme="minorHAnsi" w:hAnsiTheme="minorHAnsi" w:cstheme="minorHAnsi"/>
          <w:b w:val="0"/>
        </w:rPr>
      </w:pPr>
      <w:r w:rsidRPr="007B07BF">
        <w:rPr>
          <w:rFonts w:asciiTheme="minorHAnsi" w:hAnsiTheme="minorHAnsi" w:cstheme="minorHAnsi"/>
        </w:rPr>
        <w:lastRenderedPageBreak/>
        <w:t xml:space="preserve">Figure </w:t>
      </w:r>
      <w:r w:rsidR="002D1734" w:rsidRPr="007B07BF">
        <w:rPr>
          <w:rFonts w:asciiTheme="minorHAnsi" w:hAnsiTheme="minorHAnsi" w:cstheme="minorHAnsi"/>
        </w:rPr>
        <w:t>7</w:t>
      </w:r>
      <w:r w:rsidRPr="007B07BF">
        <w:rPr>
          <w:rFonts w:asciiTheme="minorHAnsi" w:hAnsiTheme="minorHAnsi" w:cstheme="minorHAnsi"/>
        </w:rPr>
        <w:t>.3-1: Probability Density Function for a Triangular Distribution</w:t>
      </w:r>
    </w:p>
    <w:p w14:paraId="44A239DA" w14:textId="2D9694A2" w:rsidR="004056A0" w:rsidRPr="000740C3" w:rsidRDefault="00E329E7" w:rsidP="004056A0">
      <w:pPr>
        <w:keepNext/>
        <w:keepLines/>
        <w:spacing w:line="276" w:lineRule="auto"/>
        <w:rPr>
          <w:rFonts w:asciiTheme="minorHAnsi" w:hAnsiTheme="minorHAnsi" w:cstheme="minorHAnsi"/>
          <w:b w:val="0"/>
        </w:rPr>
      </w:pPr>
      <w:r>
        <w:rPr>
          <w:rFonts w:asciiTheme="minorHAnsi" w:hAnsiTheme="minorHAnsi" w:cstheme="minorHAnsi"/>
          <w:b w:val="0"/>
          <w:noProof/>
        </w:rPr>
        <mc:AlternateContent>
          <mc:Choice Requires="wps">
            <w:drawing>
              <wp:inline distT="0" distB="0" distL="0" distR="0" wp14:anchorId="053DA1BF" wp14:editId="2872CAC5">
                <wp:extent cx="2727298" cy="1504950"/>
                <wp:effectExtent l="0" t="0" r="16510" b="19050"/>
                <wp:docPr id="1989323920" name="Rectangle 1989323920"/>
                <wp:cNvGraphicFramePr/>
                <a:graphic xmlns:a="http://schemas.openxmlformats.org/drawingml/2006/main">
                  <a:graphicData uri="http://schemas.microsoft.com/office/word/2010/wordprocessingShape">
                    <wps:wsp>
                      <wps:cNvSpPr/>
                      <wps:spPr>
                        <a:xfrm>
                          <a:off x="0" y="0"/>
                          <a:ext cx="2727298" cy="1504950"/>
                        </a:xfrm>
                        <a:prstGeom prst="rect">
                          <a:avLst/>
                        </a:prstGeom>
                        <a:ln/>
                      </wps:spPr>
                      <wps:style>
                        <a:lnRef idx="2">
                          <a:schemeClr val="dk1"/>
                        </a:lnRef>
                        <a:fillRef idx="1">
                          <a:schemeClr val="lt1"/>
                        </a:fillRef>
                        <a:effectRef idx="0">
                          <a:schemeClr val="dk1"/>
                        </a:effectRef>
                        <a:fontRef idx="minor">
                          <a:schemeClr val="dk1"/>
                        </a:fontRef>
                      </wps:style>
                      <wps:txbx>
                        <w:txbxContent>
                          <w:p w14:paraId="3ECBA229" w14:textId="77777777" w:rsidR="00E329E7" w:rsidRPr="00BC0F1D" w:rsidRDefault="00E329E7" w:rsidP="00E329E7">
                            <w:pPr>
                              <w:rPr>
                                <w:rFonts w:asciiTheme="minorHAnsi" w:hAnsiTheme="minorHAnsi" w:cstheme="minorHAnsi"/>
                                <w:b w:val="0"/>
                                <w:bCs/>
                              </w:rPr>
                            </w:pPr>
                            <w:r w:rsidRPr="00BC0F1D">
                              <w:rPr>
                                <w:rFonts w:asciiTheme="minorHAnsi" w:hAnsiTheme="minorHAnsi" w:cstheme="minorHAnsi"/>
                                <w:bCs/>
                              </w:rPr>
                              <w:t>REDACTED</w:t>
                            </w:r>
                          </w:p>
                          <w:p w14:paraId="2518C4F4" w14:textId="77777777" w:rsidR="00E329E7" w:rsidRPr="006756F8" w:rsidRDefault="00E329E7" w:rsidP="00E329E7">
                            <w:pPr>
                              <w:rPr>
                                <w:b w:val="0"/>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53DA1BF" id="Rectangle 1989323920" o:spid="_x0000_s1026" style="width:214.75pt;height:11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" fillcolor="white [3201]" strokecolor="black [3200]" strokeweight="2pt">
                <v:textbox>
                  <w:txbxContent>
                    <w:p w14:paraId="3ECBA229" w14:textId="77777777" w:rsidR="00E329E7" w:rsidRPr="00BC0F1D" w:rsidRDefault="00E329E7" w:rsidP="00E329E7">
                      <w:pPr>
                        <w:rPr>
                          <w:rFonts w:asciiTheme="minorHAnsi" w:hAnsiTheme="minorHAnsi" w:cstheme="minorHAnsi"/>
                          <w:b w:val="0"/>
                          <w:bCs/>
                        </w:rPr>
                      </w:pPr>
                      <w:r w:rsidRPr="00BC0F1D">
                        <w:rPr>
                          <w:rFonts w:asciiTheme="minorHAnsi" w:hAnsiTheme="minorHAnsi" w:cstheme="minorHAnsi"/>
                          <w:bCs/>
                        </w:rPr>
                        <w:t>REDACTED</w:t>
                      </w:r>
                    </w:p>
                    <w:p w14:paraId="2518C4F4" w14:textId="77777777" w:rsidR="00E329E7" w:rsidRPr="006756F8" w:rsidRDefault="00E329E7" w:rsidP="00E329E7">
                      <w:pPr>
                        <w:rPr>
                          <w:b w:val="0"/>
                          <w:bCs/>
                        </w:rPr>
                      </w:pPr>
                    </w:p>
                  </w:txbxContent>
                </v:textbox>
                <w10:anchorlock/>
              </v:rect>
            </w:pict>
          </mc:Fallback>
        </mc:AlternateContent>
      </w:r>
    </w:p>
    <w:p w14:paraId="6A61C198" w14:textId="77777777" w:rsidR="004056A0" w:rsidRPr="00B20D17" w:rsidRDefault="004056A0" w:rsidP="004056A0">
      <w:pPr>
        <w:keepNext/>
        <w:keepLines/>
        <w:spacing w:line="276" w:lineRule="auto"/>
        <w:jc w:val="both"/>
        <w:rPr>
          <w:rFonts w:asciiTheme="minorHAnsi" w:hAnsiTheme="minorHAnsi" w:cstheme="minorHAnsi"/>
        </w:rPr>
      </w:pPr>
    </w:p>
    <w:p w14:paraId="7B82FC53" w14:textId="77777777" w:rsidR="009B5AF7" w:rsidRDefault="009B5AF7" w:rsidP="009B5AF7">
      <w:pPr>
        <w:keepNext/>
        <w:spacing w:line="276" w:lineRule="auto"/>
        <w:rPr>
          <w:rFonts w:asciiTheme="minorHAnsi" w:hAnsiTheme="minorHAnsi" w:cstheme="minorHAnsi"/>
        </w:rPr>
      </w:pPr>
    </w:p>
    <w:p w14:paraId="770F1E79" w14:textId="2E5C6F8B" w:rsidR="004056A0" w:rsidRPr="007B07BF" w:rsidRDefault="009B5AF7" w:rsidP="004056A0">
      <w:pPr>
        <w:keepNext/>
        <w:spacing w:line="276" w:lineRule="auto"/>
        <w:rPr>
          <w:rFonts w:asciiTheme="minorHAnsi" w:hAnsiTheme="minorHAnsi" w:cstheme="minorHAnsi"/>
          <w:b w:val="0"/>
        </w:rPr>
      </w:pPr>
      <w:r w:rsidRPr="007B07BF">
        <w:rPr>
          <w:rFonts w:asciiTheme="minorHAnsi" w:hAnsiTheme="minorHAnsi" w:cstheme="minorHAnsi"/>
        </w:rPr>
        <w:t>Figure 7.3-2: Probability Dens</w:t>
      </w:r>
      <w:r w:rsidR="004056A0" w:rsidRPr="007B07BF">
        <w:rPr>
          <w:rFonts w:asciiTheme="minorHAnsi" w:hAnsiTheme="minorHAnsi" w:cstheme="minorHAnsi"/>
        </w:rPr>
        <w:t xml:space="preserve">ity Function of Triangular Distribution with </w:t>
      </w:r>
    </w:p>
    <w:p w14:paraId="1A1105C4" w14:textId="1483939C" w:rsidR="004056A0" w:rsidRPr="000740C3" w:rsidRDefault="004056A0" w:rsidP="004056A0">
      <w:pPr>
        <w:keepNext/>
        <w:spacing w:after="240" w:line="276" w:lineRule="auto"/>
        <w:rPr>
          <w:rFonts w:asciiTheme="minorHAnsi" w:hAnsiTheme="minorHAnsi" w:cstheme="minorHAnsi"/>
          <w:b w:val="0"/>
        </w:rPr>
      </w:pPr>
      <w:r w:rsidRPr="007B07BF">
        <w:rPr>
          <w:rFonts w:asciiTheme="minorHAnsi" w:hAnsiTheme="minorHAnsi" w:cstheme="minorHAnsi"/>
        </w:rPr>
        <w:t xml:space="preserve">a= </w:t>
      </w:r>
      <w:r w:rsidR="008F7DD6">
        <w:rPr>
          <w:rFonts w:asciiTheme="minorHAnsi" w:hAnsiTheme="minorHAnsi" w:cstheme="minorHAnsi"/>
        </w:rPr>
        <w:t>REDACTED</w:t>
      </w:r>
      <w:r w:rsidRPr="007B07BF">
        <w:rPr>
          <w:rFonts w:asciiTheme="minorHAnsi" w:hAnsiTheme="minorHAnsi" w:cstheme="minorHAnsi"/>
        </w:rPr>
        <w:t>%, c=</w:t>
      </w:r>
      <w:r w:rsidR="00205D50">
        <w:rPr>
          <w:rFonts w:asciiTheme="minorHAnsi" w:hAnsiTheme="minorHAnsi" w:cstheme="minorHAnsi"/>
        </w:rPr>
        <w:t>REDACTED</w:t>
      </w:r>
      <w:r w:rsidRPr="007B07BF">
        <w:rPr>
          <w:rFonts w:asciiTheme="minorHAnsi" w:hAnsiTheme="minorHAnsi" w:cstheme="minorHAnsi"/>
        </w:rPr>
        <w:t>% and b=</w:t>
      </w:r>
      <w:r w:rsidR="00205D50">
        <w:rPr>
          <w:rFonts w:asciiTheme="minorHAnsi" w:hAnsiTheme="minorHAnsi" w:cstheme="minorHAnsi"/>
        </w:rPr>
        <w:t>REDACTED</w:t>
      </w:r>
      <w:r w:rsidRPr="007B07BF">
        <w:rPr>
          <w:rFonts w:asciiTheme="minorHAnsi" w:hAnsiTheme="minorHAnsi" w:cstheme="minorHAnsi"/>
        </w:rPr>
        <w:t>%</w:t>
      </w:r>
    </w:p>
    <w:p w14:paraId="1A16E2C8" w14:textId="1D98D316" w:rsidR="004056A0" w:rsidRPr="00B20D17" w:rsidRDefault="008F7DD6" w:rsidP="004056A0">
      <w:pPr>
        <w:keepNext/>
        <w:spacing w:line="276" w:lineRule="auto"/>
        <w:rPr>
          <w:rFonts w:asciiTheme="minorHAnsi" w:hAnsiTheme="minorHAnsi" w:cstheme="minorHAnsi"/>
        </w:rPr>
      </w:pPr>
      <w:r>
        <w:rPr>
          <w:rFonts w:asciiTheme="minorHAnsi" w:hAnsiTheme="minorHAnsi" w:cstheme="minorHAnsi"/>
          <w:b w:val="0"/>
          <w:noProof/>
        </w:rPr>
        <mc:AlternateContent>
          <mc:Choice Requires="wps">
            <w:drawing>
              <wp:inline distT="0" distB="0" distL="0" distR="0" wp14:anchorId="093CF0C0" wp14:editId="2D866AEC">
                <wp:extent cx="3609975" cy="2562225"/>
                <wp:effectExtent l="0" t="0" r="28575" b="28575"/>
                <wp:docPr id="1616494602" name="Rectangle 1616494602"/>
                <wp:cNvGraphicFramePr/>
                <a:graphic xmlns:a="http://schemas.openxmlformats.org/drawingml/2006/main">
                  <a:graphicData uri="http://schemas.microsoft.com/office/word/2010/wordprocessingShape">
                    <wps:wsp>
                      <wps:cNvSpPr/>
                      <wps:spPr>
                        <a:xfrm>
                          <a:off x="0" y="0"/>
                          <a:ext cx="3609975" cy="2562225"/>
                        </a:xfrm>
                        <a:prstGeom prst="rect">
                          <a:avLst/>
                        </a:prstGeom>
                        <a:ln/>
                      </wps:spPr>
                      <wps:style>
                        <a:lnRef idx="2">
                          <a:schemeClr val="dk1"/>
                        </a:lnRef>
                        <a:fillRef idx="1">
                          <a:schemeClr val="lt1"/>
                        </a:fillRef>
                        <a:effectRef idx="0">
                          <a:schemeClr val="dk1"/>
                        </a:effectRef>
                        <a:fontRef idx="minor">
                          <a:schemeClr val="dk1"/>
                        </a:fontRef>
                      </wps:style>
                      <wps:txbx>
                        <w:txbxContent>
                          <w:p w14:paraId="47D393B8" w14:textId="77777777" w:rsidR="008F7DD6" w:rsidRPr="00BC0F1D" w:rsidRDefault="008F7DD6" w:rsidP="008F7DD6">
                            <w:pPr>
                              <w:rPr>
                                <w:rFonts w:asciiTheme="minorHAnsi" w:hAnsiTheme="minorHAnsi" w:cstheme="minorHAnsi"/>
                                <w:b w:val="0"/>
                                <w:bCs/>
                              </w:rPr>
                            </w:pPr>
                            <w:r w:rsidRPr="00BC0F1D">
                              <w:rPr>
                                <w:rFonts w:asciiTheme="minorHAnsi" w:hAnsiTheme="minorHAnsi" w:cstheme="minorHAnsi"/>
                                <w:bCs/>
                              </w:rPr>
                              <w:t>REDACTED</w:t>
                            </w:r>
                          </w:p>
                          <w:p w14:paraId="1AD6D1BD" w14:textId="77777777" w:rsidR="008F7DD6" w:rsidRPr="006756F8" w:rsidRDefault="008F7DD6" w:rsidP="008F7DD6">
                            <w:pPr>
                              <w:rPr>
                                <w:b w:val="0"/>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3CF0C0" id="Rectangle 1616494602" o:spid="_x0000_s1027" style="width:284.25pt;height:201.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" fillcolor="white [3201]" strokecolor="black [3200]" strokeweight="2pt">
                <v:textbox>
                  <w:txbxContent>
                    <w:p w14:paraId="47D393B8" w14:textId="77777777" w:rsidR="008F7DD6" w:rsidRPr="00BC0F1D" w:rsidRDefault="008F7DD6" w:rsidP="008F7DD6">
                      <w:pPr>
                        <w:rPr>
                          <w:rFonts w:asciiTheme="minorHAnsi" w:hAnsiTheme="minorHAnsi" w:cstheme="minorHAnsi"/>
                          <w:b w:val="0"/>
                          <w:bCs/>
                        </w:rPr>
                      </w:pPr>
                      <w:r w:rsidRPr="00BC0F1D">
                        <w:rPr>
                          <w:rFonts w:asciiTheme="minorHAnsi" w:hAnsiTheme="minorHAnsi" w:cstheme="minorHAnsi"/>
                          <w:bCs/>
                        </w:rPr>
                        <w:t>REDACTED</w:t>
                      </w:r>
                    </w:p>
                    <w:p w14:paraId="1AD6D1BD" w14:textId="77777777" w:rsidR="008F7DD6" w:rsidRPr="006756F8" w:rsidRDefault="008F7DD6" w:rsidP="008F7DD6">
                      <w:pPr>
                        <w:rPr>
                          <w:b w:val="0"/>
                          <w:bCs/>
                        </w:rPr>
                      </w:pPr>
                    </w:p>
                  </w:txbxContent>
                </v:textbox>
                <w10:anchorlock/>
              </v:rect>
            </w:pict>
          </mc:Fallback>
        </mc:AlternateContent>
      </w:r>
    </w:p>
    <w:p w14:paraId="7B06DD6E" w14:textId="77777777" w:rsidR="004056A0" w:rsidRPr="00B20D17" w:rsidRDefault="004056A0" w:rsidP="004056A0">
      <w:pPr>
        <w:spacing w:line="276" w:lineRule="auto"/>
        <w:jc w:val="both"/>
        <w:rPr>
          <w:rFonts w:asciiTheme="minorHAnsi" w:hAnsiTheme="minorHAnsi" w:cstheme="minorHAnsi"/>
        </w:rPr>
      </w:pPr>
      <w:r w:rsidRPr="00B20D17">
        <w:rPr>
          <w:rFonts w:asciiTheme="minorHAnsi" w:hAnsiTheme="minorHAnsi" w:cstheme="minorHAnsi"/>
        </w:rPr>
        <w:t xml:space="preserve"> </w:t>
      </w:r>
    </w:p>
    <w:p w14:paraId="786E05F0" w14:textId="77777777" w:rsidR="00211288" w:rsidRDefault="00211288" w:rsidP="00211288">
      <w:pPr>
        <w:keepNext/>
        <w:spacing w:line="360" w:lineRule="auto"/>
        <w:jc w:val="both"/>
        <w:rPr>
          <w:rFonts w:asciiTheme="minorHAnsi" w:hAnsiTheme="minorHAnsi" w:cstheme="minorHAnsi"/>
          <w:sz w:val="22"/>
          <w:szCs w:val="22"/>
        </w:rPr>
      </w:pPr>
    </w:p>
    <w:p w14:paraId="5169CFCD" w14:textId="1EF00149" w:rsidR="004056A0" w:rsidRPr="000740C3" w:rsidRDefault="004056A0" w:rsidP="0058663C">
      <w:pPr>
        <w:keepNext/>
        <w:spacing w:after="240" w:line="360" w:lineRule="auto"/>
        <w:jc w:val="both"/>
        <w:rPr>
          <w:rFonts w:asciiTheme="minorHAnsi" w:hAnsiTheme="minorHAnsi" w:cstheme="minorHAnsi"/>
          <w:sz w:val="22"/>
          <w:szCs w:val="22"/>
        </w:rPr>
      </w:pPr>
      <w:r w:rsidRPr="000740C3">
        <w:rPr>
          <w:rFonts w:asciiTheme="minorHAnsi" w:hAnsiTheme="minorHAnsi" w:cstheme="minorHAnsi"/>
          <w:sz w:val="22"/>
          <w:szCs w:val="22"/>
        </w:rPr>
        <w:t xml:space="preserve">Triangular distributions are chosen for this model for the following reasons: </w:t>
      </w:r>
    </w:p>
    <w:p w14:paraId="6355DBA3" w14:textId="77777777" w:rsidR="004056A0" w:rsidRPr="0058663C" w:rsidRDefault="004056A0" w:rsidP="0058663C">
      <w:pPr>
        <w:pStyle w:val="ListParagraph"/>
        <w:keepNext/>
        <w:numPr>
          <w:ilvl w:val="0"/>
          <w:numId w:val="20"/>
        </w:numPr>
        <w:spacing w:after="0" w:line="360" w:lineRule="auto"/>
        <w:jc w:val="both"/>
        <w:rPr>
          <w:rFonts w:ascii="Arial" w:hAnsi="Arial" w:cs="Arial"/>
          <w:sz w:val="20"/>
          <w:szCs w:val="20"/>
        </w:rPr>
      </w:pPr>
      <w:r w:rsidRPr="0058663C">
        <w:rPr>
          <w:rFonts w:ascii="Arial" w:hAnsi="Arial" w:cs="Arial"/>
          <w:sz w:val="20"/>
          <w:szCs w:val="20"/>
        </w:rPr>
        <w:t>A triangular distribution has a finite range while other commonly used probability distributions such as normal and lognormal distributions have an infinite range and can even be negative, which is inappropriate to depict the actual/announced ratio.</w:t>
      </w:r>
    </w:p>
    <w:p w14:paraId="6FD7F931" w14:textId="093A9C67" w:rsidR="004056A0" w:rsidRPr="0058663C" w:rsidRDefault="004056A0" w:rsidP="0058663C">
      <w:pPr>
        <w:pStyle w:val="ListParagraph"/>
        <w:numPr>
          <w:ilvl w:val="0"/>
          <w:numId w:val="20"/>
        </w:numPr>
        <w:spacing w:after="0" w:line="360" w:lineRule="auto"/>
        <w:jc w:val="both"/>
        <w:rPr>
          <w:rFonts w:ascii="Arial" w:hAnsi="Arial" w:cs="Arial"/>
          <w:sz w:val="20"/>
          <w:szCs w:val="20"/>
        </w:rPr>
      </w:pPr>
      <w:r w:rsidRPr="0058663C">
        <w:rPr>
          <w:rFonts w:ascii="Arial" w:hAnsi="Arial" w:cs="Arial"/>
          <w:sz w:val="20"/>
          <w:szCs w:val="20"/>
        </w:rPr>
        <w:t>The min/max/most likely parametric setup of triangular distributions is intuitive and straightforward to interpret. In contrast, the parameters of some other commonly used distributions are somewhat opaque. For example,</w:t>
      </w:r>
      <w:r w:rsidRPr="0058663C" w:rsidDel="00520A3F">
        <w:rPr>
          <w:rFonts w:ascii="Arial" w:hAnsi="Arial" w:cs="Arial"/>
          <w:sz w:val="20"/>
          <w:szCs w:val="20"/>
        </w:rPr>
        <w:t xml:space="preserve"> </w:t>
      </w:r>
      <w:r w:rsidRPr="0058663C">
        <w:rPr>
          <w:rFonts w:ascii="Arial" w:hAnsi="Arial" w:cs="Arial"/>
          <w:sz w:val="20"/>
          <w:szCs w:val="20"/>
        </w:rPr>
        <w:t>normal distributions are defined in terms of mean and standard deviation. Additional calculation</w:t>
      </w:r>
      <w:r w:rsidR="0000762A">
        <w:rPr>
          <w:rFonts w:ascii="Arial" w:hAnsi="Arial" w:cs="Arial"/>
          <w:sz w:val="20"/>
          <w:szCs w:val="20"/>
        </w:rPr>
        <w:t>s are</w:t>
      </w:r>
      <w:r w:rsidRPr="0058663C">
        <w:rPr>
          <w:rFonts w:ascii="Arial" w:hAnsi="Arial" w:cs="Arial"/>
          <w:sz w:val="20"/>
          <w:szCs w:val="20"/>
        </w:rPr>
        <w:t xml:space="preserve"> needed to translate those into the range of outcomes that are more appropriate for the context of actual vs. announced load.</w:t>
      </w:r>
    </w:p>
    <w:p w14:paraId="49ABD625" w14:textId="288ED6B0" w:rsidR="002B28BF" w:rsidRDefault="004056A0" w:rsidP="008A1B1C">
      <w:pPr>
        <w:pStyle w:val="ListParagraph"/>
        <w:numPr>
          <w:ilvl w:val="0"/>
          <w:numId w:val="20"/>
        </w:numPr>
        <w:spacing w:after="0" w:line="360" w:lineRule="auto"/>
        <w:jc w:val="both"/>
        <w:rPr>
          <w:rFonts w:ascii="Arial" w:hAnsi="Arial" w:cs="Arial"/>
          <w:b/>
        </w:rPr>
      </w:pPr>
      <w:r w:rsidRPr="0058663C">
        <w:rPr>
          <w:rFonts w:ascii="Arial" w:hAnsi="Arial" w:cs="Arial"/>
          <w:sz w:val="20"/>
          <w:szCs w:val="20"/>
        </w:rPr>
        <w:lastRenderedPageBreak/>
        <w:t>Other than the standard min/max/most likely parametric setup, triangular distributions can also be defined by a combination of percentiles, min, max and most likely, which offers more flexibility to fine</w:t>
      </w:r>
      <w:r w:rsidR="00041DE3">
        <w:rPr>
          <w:rFonts w:ascii="Arial" w:hAnsi="Arial" w:cs="Arial"/>
          <w:sz w:val="20"/>
          <w:szCs w:val="20"/>
        </w:rPr>
        <w:t xml:space="preserve"> </w:t>
      </w:r>
      <w:r w:rsidRPr="0058663C">
        <w:rPr>
          <w:rFonts w:ascii="Arial" w:hAnsi="Arial" w:cs="Arial"/>
          <w:sz w:val="20"/>
          <w:szCs w:val="20"/>
        </w:rPr>
        <w:t>tune the model.</w:t>
      </w:r>
      <w:r w:rsidR="002B28BF" w:rsidRPr="002B28BF" w:rsidDel="002B28BF">
        <w:rPr>
          <w:rFonts w:ascii="Arial" w:hAnsi="Arial" w:cs="Arial"/>
          <w:sz w:val="20"/>
          <w:szCs w:val="20"/>
        </w:rPr>
        <w:t xml:space="preserve"> </w:t>
      </w:r>
    </w:p>
    <w:p w14:paraId="414AE176" w14:textId="77777777" w:rsidR="002B28BF" w:rsidRPr="002B28BF" w:rsidRDefault="002B28BF" w:rsidP="0058663C">
      <w:pPr>
        <w:spacing w:line="360" w:lineRule="auto"/>
        <w:ind w:left="360"/>
        <w:jc w:val="both"/>
      </w:pPr>
    </w:p>
    <w:p w14:paraId="3F12EFB2" w14:textId="18D04B34" w:rsidR="00D324DB" w:rsidRDefault="00D324DB">
      <w:pPr>
        <w:spacing w:after="200" w:line="276" w:lineRule="auto"/>
        <w:jc w:val="left"/>
        <w:sectPr w:rsidR="00D324DB" w:rsidSect="0058663C">
          <w:footerReference w:type="default" r:id="rId104"/>
          <w:pgSz w:w="12240" w:h="15840"/>
          <w:pgMar w:top="1440" w:right="1440" w:bottom="1440" w:left="1440" w:header="720" w:footer="720" w:gutter="0"/>
          <w:cols w:space="720"/>
          <w:docGrid w:linePitch="273"/>
        </w:sectPr>
      </w:pPr>
    </w:p>
    <w:p w14:paraId="63C7BE55" w14:textId="6B0DC02B" w:rsidR="000F2494" w:rsidRPr="002D2723" w:rsidRDefault="00BA00DE" w:rsidP="002D288F">
      <w:pPr>
        <w:pStyle w:val="Heading1"/>
        <w:jc w:val="left"/>
        <w:rPr>
          <w:rFonts w:ascii="Arial" w:hAnsi="Arial" w:cs="Arial"/>
          <w:b/>
          <w:color w:val="auto"/>
        </w:rPr>
      </w:pPr>
      <w:bookmarkStart w:id="446" w:name="_Toc188257169"/>
      <w:bookmarkStart w:id="447" w:name="_Toc188257384"/>
      <w:bookmarkStart w:id="448" w:name="_Toc188257608"/>
      <w:bookmarkStart w:id="449" w:name="_Toc189162617"/>
      <w:r w:rsidRPr="002D2723">
        <w:rPr>
          <w:rFonts w:ascii="Arial" w:hAnsi="Arial" w:cs="Arial"/>
          <w:b/>
          <w:color w:val="auto"/>
        </w:rPr>
        <w:lastRenderedPageBreak/>
        <w:t>8</w:t>
      </w:r>
      <w:r w:rsidR="000F2494" w:rsidRPr="002D2723">
        <w:rPr>
          <w:rFonts w:ascii="Arial" w:hAnsi="Arial" w:cs="Arial"/>
          <w:b/>
          <w:color w:val="auto"/>
        </w:rPr>
        <w:t>.0</w:t>
      </w:r>
      <w:r w:rsidR="000F2494" w:rsidRPr="002D2723">
        <w:rPr>
          <w:rFonts w:ascii="Arial" w:hAnsi="Arial" w:cs="Arial"/>
          <w:b/>
          <w:color w:val="auto"/>
        </w:rPr>
        <w:tab/>
        <w:t>SENSITIVITY AND SCENARIO DEVELOPMENT OVERVIEW</w:t>
      </w:r>
      <w:bookmarkEnd w:id="387"/>
      <w:bookmarkEnd w:id="388"/>
      <w:bookmarkEnd w:id="389"/>
      <w:bookmarkEnd w:id="390"/>
      <w:bookmarkEnd w:id="391"/>
      <w:bookmarkEnd w:id="446"/>
      <w:bookmarkEnd w:id="447"/>
      <w:bookmarkEnd w:id="448"/>
      <w:bookmarkEnd w:id="449"/>
    </w:p>
    <w:p w14:paraId="00DDC1D0" w14:textId="77777777" w:rsidR="000F2494" w:rsidRDefault="000F2494" w:rsidP="000F2494">
      <w:pPr>
        <w:pStyle w:val="BodyText"/>
        <w:spacing w:line="360" w:lineRule="auto"/>
        <w:jc w:val="left"/>
        <w:rPr>
          <w:b w:val="0"/>
        </w:rPr>
      </w:pPr>
    </w:p>
    <w:p w14:paraId="5660F080" w14:textId="58F3328D" w:rsidR="000F2494" w:rsidRPr="000F2494" w:rsidRDefault="000F2494" w:rsidP="00A027E8">
      <w:pPr>
        <w:pStyle w:val="BodyText"/>
        <w:spacing w:line="360" w:lineRule="auto"/>
        <w:jc w:val="both"/>
        <w:rPr>
          <w:b w:val="0"/>
        </w:rPr>
      </w:pPr>
      <w:r w:rsidRPr="000F2494">
        <w:rPr>
          <w:b w:val="0"/>
        </w:rPr>
        <w:t xml:space="preserve">Budget </w:t>
      </w:r>
      <w:r w:rsidR="009F506E" w:rsidRPr="000F2494">
        <w:rPr>
          <w:b w:val="0"/>
        </w:rPr>
        <w:t>20</w:t>
      </w:r>
      <w:r w:rsidR="009F506E">
        <w:rPr>
          <w:b w:val="0"/>
        </w:rPr>
        <w:t>25</w:t>
      </w:r>
      <w:r w:rsidR="009F506E" w:rsidRPr="000F2494">
        <w:rPr>
          <w:b w:val="0"/>
        </w:rPr>
        <w:t xml:space="preserve"> </w:t>
      </w:r>
      <w:r w:rsidRPr="000F2494">
        <w:rPr>
          <w:b w:val="0"/>
        </w:rPr>
        <w:t xml:space="preserve">is a base case forecast using </w:t>
      </w:r>
      <w:r w:rsidR="000D1EE5">
        <w:rPr>
          <w:b w:val="0"/>
        </w:rPr>
        <w:t xml:space="preserve">the economic forecast from </w:t>
      </w:r>
      <w:r w:rsidR="009F506E">
        <w:rPr>
          <w:b w:val="0"/>
        </w:rPr>
        <w:t>S&amp;P Global</w:t>
      </w:r>
      <w:r w:rsidRPr="000F2494">
        <w:rPr>
          <w:b w:val="0"/>
        </w:rPr>
        <w:t xml:space="preserve">, a </w:t>
      </w:r>
      <w:r w:rsidR="0057383C">
        <w:rPr>
          <w:b w:val="0"/>
        </w:rPr>
        <w:t>4</w:t>
      </w:r>
      <w:r w:rsidR="009F506E">
        <w:rPr>
          <w:b w:val="0"/>
        </w:rPr>
        <w:t>4</w:t>
      </w:r>
      <w:r w:rsidRPr="000F2494">
        <w:rPr>
          <w:b w:val="0"/>
        </w:rPr>
        <w:t xml:space="preserve">-year </w:t>
      </w:r>
      <w:r w:rsidR="00095E83">
        <w:rPr>
          <w:b w:val="0"/>
        </w:rPr>
        <w:t xml:space="preserve">average </w:t>
      </w:r>
      <w:r w:rsidRPr="000F2494">
        <w:rPr>
          <w:b w:val="0"/>
        </w:rPr>
        <w:t>normal weather definition</w:t>
      </w:r>
      <w:r w:rsidR="00C22A7B">
        <w:rPr>
          <w:b w:val="0"/>
        </w:rPr>
        <w:t xml:space="preserve"> (1980-2023)</w:t>
      </w:r>
      <w:r w:rsidRPr="000F2494">
        <w:rPr>
          <w:b w:val="0"/>
        </w:rPr>
        <w:t xml:space="preserve">, and an electricity price forecast based on results of financial planning models and information from the Department of Energy. The economic forecast for the base case represents a description of the economic environment that is most likely to take place absent climate legislation or new environmental rulemaking. </w:t>
      </w:r>
      <w:r w:rsidR="00C22A7B">
        <w:rPr>
          <w:b w:val="0"/>
        </w:rPr>
        <w:t>H</w:t>
      </w:r>
      <w:r w:rsidR="00C22A7B" w:rsidRPr="000F2494">
        <w:rPr>
          <w:b w:val="0"/>
        </w:rPr>
        <w:t xml:space="preserve">owever, </w:t>
      </w:r>
      <w:r w:rsidR="00C22A7B">
        <w:rPr>
          <w:b w:val="0"/>
        </w:rPr>
        <w:t>t</w:t>
      </w:r>
      <w:r w:rsidR="00C22A7B" w:rsidRPr="000F2494">
        <w:rPr>
          <w:b w:val="0"/>
        </w:rPr>
        <w:t>here</w:t>
      </w:r>
      <w:r w:rsidRPr="000F2494">
        <w:rPr>
          <w:b w:val="0"/>
        </w:rPr>
        <w:t xml:space="preserve"> are many possible events or actions that could occur to change the characteristics of the economy or business environment of Georgia Power and, consequently, forecasted energy sales. Similarly, there is a possibility of deviation from current regulatory environment. In order to evaluate the impact of changes to some of these key assumptions and variables, </w:t>
      </w:r>
      <w:r w:rsidR="003F0A0A">
        <w:rPr>
          <w:b w:val="0"/>
        </w:rPr>
        <w:t>the Company developed</w:t>
      </w:r>
      <w:r w:rsidRPr="000F2494">
        <w:rPr>
          <w:b w:val="0"/>
        </w:rPr>
        <w:t xml:space="preserve"> sensitivities around the key forecast variables and scenarios around potential carbon and fuel price outcomes.</w:t>
      </w:r>
    </w:p>
    <w:p w14:paraId="5FF73138" w14:textId="7A638B37" w:rsidR="000F2494" w:rsidRPr="000F2494" w:rsidRDefault="00BA00DE" w:rsidP="000F2494">
      <w:pPr>
        <w:pStyle w:val="Heading1"/>
        <w:jc w:val="left"/>
        <w:rPr>
          <w:rFonts w:ascii="Arial" w:hAnsi="Arial" w:cs="Arial"/>
          <w:b/>
          <w:color w:val="auto"/>
        </w:rPr>
      </w:pPr>
      <w:bookmarkStart w:id="450" w:name="_Toc347120444"/>
      <w:bookmarkStart w:id="451" w:name="_Toc188257170"/>
      <w:bookmarkStart w:id="452" w:name="_Toc188257385"/>
      <w:bookmarkStart w:id="453" w:name="_Toc188257609"/>
      <w:bookmarkStart w:id="454" w:name="_Toc189162618"/>
      <w:r>
        <w:rPr>
          <w:rFonts w:ascii="Arial" w:hAnsi="Arial" w:cs="Arial"/>
          <w:b/>
          <w:color w:val="auto"/>
        </w:rPr>
        <w:t>8</w:t>
      </w:r>
      <w:r w:rsidR="000F2494" w:rsidRPr="000F2494">
        <w:rPr>
          <w:rFonts w:ascii="Arial" w:hAnsi="Arial" w:cs="Arial"/>
          <w:b/>
          <w:color w:val="auto"/>
        </w:rPr>
        <w:t>.1</w:t>
      </w:r>
      <w:r w:rsidR="000F2494" w:rsidRPr="000F2494">
        <w:rPr>
          <w:rFonts w:ascii="Arial" w:hAnsi="Arial" w:cs="Arial"/>
          <w:b/>
          <w:color w:val="auto"/>
        </w:rPr>
        <w:tab/>
        <w:t>SENSITIVITIES</w:t>
      </w:r>
      <w:bookmarkEnd w:id="450"/>
      <w:bookmarkEnd w:id="451"/>
      <w:bookmarkEnd w:id="452"/>
      <w:bookmarkEnd w:id="453"/>
      <w:bookmarkEnd w:id="454"/>
      <w:r w:rsidR="000F2494" w:rsidRPr="000F2494">
        <w:rPr>
          <w:rFonts w:ascii="Arial" w:hAnsi="Arial" w:cs="Arial"/>
          <w:b/>
          <w:color w:val="auto"/>
        </w:rPr>
        <w:t xml:space="preserve"> </w:t>
      </w:r>
    </w:p>
    <w:p w14:paraId="29282B07" w14:textId="77777777" w:rsidR="000F2494" w:rsidRDefault="000F2494" w:rsidP="000F2494">
      <w:pPr>
        <w:pStyle w:val="BodyText"/>
      </w:pPr>
    </w:p>
    <w:p w14:paraId="27DA5C52" w14:textId="2EADF948" w:rsidR="00EB0B49" w:rsidRDefault="00B0543B" w:rsidP="00C75DE6">
      <w:pPr>
        <w:pStyle w:val="BodyText"/>
        <w:spacing w:after="0" w:line="360" w:lineRule="auto"/>
        <w:jc w:val="both"/>
        <w:rPr>
          <w:b w:val="0"/>
        </w:rPr>
      </w:pPr>
      <w:bookmarkStart w:id="455" w:name="_Hlk531793120"/>
      <w:r w:rsidRPr="000F2494">
        <w:rPr>
          <w:b w:val="0"/>
        </w:rPr>
        <w:t>In the current application, a sensitivity is defined as a specified collection of univariate changes occurring coincidentally.</w:t>
      </w:r>
      <w:r>
        <w:rPr>
          <w:b w:val="0"/>
        </w:rPr>
        <w:t xml:space="preserve"> </w:t>
      </w:r>
      <w:r w:rsidR="00A11A76">
        <w:rPr>
          <w:b w:val="0"/>
        </w:rPr>
        <w:t>Seven</w:t>
      </w:r>
      <w:r w:rsidR="00A11A76" w:rsidRPr="000F2494">
        <w:rPr>
          <w:b w:val="0"/>
        </w:rPr>
        <w:t xml:space="preserve"> </w:t>
      </w:r>
      <w:r w:rsidR="000F2494" w:rsidRPr="000F2494">
        <w:rPr>
          <w:b w:val="0"/>
        </w:rPr>
        <w:t xml:space="preserve">sensitivities were developed for Budget </w:t>
      </w:r>
      <w:r w:rsidR="00615C63" w:rsidRPr="000F2494">
        <w:rPr>
          <w:b w:val="0"/>
        </w:rPr>
        <w:t>20</w:t>
      </w:r>
      <w:r w:rsidR="00615C63">
        <w:rPr>
          <w:b w:val="0"/>
        </w:rPr>
        <w:t xml:space="preserve">25 </w:t>
      </w:r>
      <w:r>
        <w:rPr>
          <w:b w:val="0"/>
        </w:rPr>
        <w:t>r</w:t>
      </w:r>
      <w:r w:rsidR="000F2494" w:rsidRPr="000F2494">
        <w:rPr>
          <w:b w:val="0"/>
        </w:rPr>
        <w:t xml:space="preserve">elative to the </w:t>
      </w:r>
      <w:r w:rsidR="00EC264B">
        <w:rPr>
          <w:b w:val="0"/>
        </w:rPr>
        <w:t>“</w:t>
      </w:r>
      <w:r w:rsidR="000F2494" w:rsidRPr="000F2494">
        <w:rPr>
          <w:b w:val="0"/>
        </w:rPr>
        <w:t>Base Case</w:t>
      </w:r>
      <w:r w:rsidR="00EC264B">
        <w:rPr>
          <w:b w:val="0"/>
        </w:rPr>
        <w:t>”</w:t>
      </w:r>
      <w:r w:rsidR="000F2494" w:rsidRPr="000F2494">
        <w:rPr>
          <w:b w:val="0"/>
        </w:rPr>
        <w:t xml:space="preserve"> forecast</w:t>
      </w:r>
      <w:r>
        <w:rPr>
          <w:b w:val="0"/>
        </w:rPr>
        <w:t>.</w:t>
      </w:r>
      <w:r w:rsidR="000F2494" w:rsidRPr="000F2494">
        <w:rPr>
          <w:b w:val="0"/>
        </w:rPr>
        <w:t xml:space="preserve"> </w:t>
      </w:r>
      <w:r>
        <w:rPr>
          <w:b w:val="0"/>
        </w:rPr>
        <w:t>T</w:t>
      </w:r>
      <w:r w:rsidR="000F2494" w:rsidRPr="000F2494">
        <w:rPr>
          <w:b w:val="0"/>
        </w:rPr>
        <w:t>he</w:t>
      </w:r>
      <w:r>
        <w:rPr>
          <w:b w:val="0"/>
        </w:rPr>
        <w:t xml:space="preserve"> sensitivities presented below include:</w:t>
      </w:r>
      <w:r w:rsidR="000F2494" w:rsidRPr="000F2494">
        <w:rPr>
          <w:b w:val="0"/>
        </w:rPr>
        <w:t xml:space="preserve"> </w:t>
      </w:r>
      <w:r w:rsidR="00D4683B">
        <w:rPr>
          <w:b w:val="0"/>
        </w:rPr>
        <w:t>(</w:t>
      </w:r>
      <w:r w:rsidR="00D4683B" w:rsidRPr="00082868">
        <w:rPr>
          <w:b w:val="0"/>
        </w:rPr>
        <w:t>1) high economic growth</w:t>
      </w:r>
      <w:r w:rsidR="00D4683B">
        <w:rPr>
          <w:b w:val="0"/>
        </w:rPr>
        <w:t>;</w:t>
      </w:r>
      <w:r w:rsidR="00D4683B" w:rsidRPr="00082868">
        <w:rPr>
          <w:b w:val="0"/>
        </w:rPr>
        <w:t xml:space="preserve"> </w:t>
      </w:r>
      <w:r w:rsidR="00D4683B">
        <w:rPr>
          <w:b w:val="0"/>
        </w:rPr>
        <w:t>(</w:t>
      </w:r>
      <w:r w:rsidR="00D4683B" w:rsidRPr="00082868">
        <w:rPr>
          <w:b w:val="0"/>
        </w:rPr>
        <w:t>2) low economic growth</w:t>
      </w:r>
      <w:r w:rsidR="00D4683B">
        <w:rPr>
          <w:b w:val="0"/>
        </w:rPr>
        <w:t>; (</w:t>
      </w:r>
      <w:r w:rsidR="00D4683B" w:rsidRPr="00082868">
        <w:rPr>
          <w:b w:val="0"/>
        </w:rPr>
        <w:t>3) no load growth</w:t>
      </w:r>
      <w:r w:rsidR="00D4683B">
        <w:rPr>
          <w:b w:val="0"/>
        </w:rPr>
        <w:t>;</w:t>
      </w:r>
      <w:r w:rsidR="00D4683B" w:rsidRPr="00082868">
        <w:rPr>
          <w:b w:val="0"/>
        </w:rPr>
        <w:t xml:space="preserve"> </w:t>
      </w:r>
      <w:r w:rsidR="00D4683B">
        <w:rPr>
          <w:b w:val="0"/>
        </w:rPr>
        <w:t>(4) high growth in large load customers; (5</w:t>
      </w:r>
      <w:r w:rsidR="00D4683B" w:rsidRPr="00082868">
        <w:rPr>
          <w:b w:val="0"/>
        </w:rPr>
        <w:t>)</w:t>
      </w:r>
      <w:r w:rsidR="00D4683B">
        <w:rPr>
          <w:b w:val="0"/>
        </w:rPr>
        <w:t xml:space="preserve"> l</w:t>
      </w:r>
      <w:r w:rsidR="00D4683B" w:rsidRPr="00082868">
        <w:rPr>
          <w:b w:val="0"/>
        </w:rPr>
        <w:t xml:space="preserve">oad growth with </w:t>
      </w:r>
      <w:r w:rsidR="00D4683B">
        <w:rPr>
          <w:b w:val="0"/>
        </w:rPr>
        <w:t>no</w:t>
      </w:r>
      <w:r w:rsidR="00D4683B" w:rsidRPr="00082868">
        <w:rPr>
          <w:b w:val="0"/>
        </w:rPr>
        <w:t xml:space="preserve"> DSM growth</w:t>
      </w:r>
      <w:r w:rsidR="00D4683B">
        <w:rPr>
          <w:b w:val="0"/>
        </w:rPr>
        <w:t>;</w:t>
      </w:r>
      <w:r w:rsidR="00D4683B" w:rsidRPr="00082868">
        <w:rPr>
          <w:b w:val="0"/>
        </w:rPr>
        <w:t xml:space="preserve"> </w:t>
      </w:r>
      <w:r w:rsidR="00D4683B">
        <w:rPr>
          <w:b w:val="0"/>
        </w:rPr>
        <w:t>(6</w:t>
      </w:r>
      <w:r w:rsidR="00D4683B" w:rsidRPr="00082868">
        <w:rPr>
          <w:b w:val="0"/>
        </w:rPr>
        <w:t>) load growth with aggressive DSM growth</w:t>
      </w:r>
      <w:r w:rsidR="00D4683B">
        <w:rPr>
          <w:b w:val="0"/>
        </w:rPr>
        <w:t>; and (7) load growth using a 20-year normal definition of weather, as stipulated in the 2019 IRP</w:t>
      </w:r>
      <w:r w:rsidR="00D4683B" w:rsidRPr="00082868">
        <w:rPr>
          <w:b w:val="0"/>
        </w:rPr>
        <w:t xml:space="preserve">. </w:t>
      </w:r>
    </w:p>
    <w:p w14:paraId="738F3F1F" w14:textId="77777777" w:rsidR="00EB0B49" w:rsidRDefault="00EB0B49" w:rsidP="00C75DE6">
      <w:pPr>
        <w:pStyle w:val="BodyText"/>
        <w:spacing w:after="0" w:line="360" w:lineRule="auto"/>
        <w:jc w:val="both"/>
        <w:rPr>
          <w:b w:val="0"/>
        </w:rPr>
      </w:pPr>
    </w:p>
    <w:p w14:paraId="5F93A4BC" w14:textId="60B12B13" w:rsidR="00CF098E" w:rsidRDefault="000F2494" w:rsidP="00C75DE6">
      <w:pPr>
        <w:pStyle w:val="BodyText"/>
        <w:spacing w:after="0" w:line="360" w:lineRule="auto"/>
        <w:jc w:val="both"/>
        <w:rPr>
          <w:b w:val="0"/>
        </w:rPr>
      </w:pPr>
      <w:r w:rsidRPr="000F2494">
        <w:rPr>
          <w:b w:val="0"/>
        </w:rPr>
        <w:t>The high and low economic</w:t>
      </w:r>
      <w:r w:rsidR="00D23FB9">
        <w:rPr>
          <w:b w:val="0"/>
        </w:rPr>
        <w:t xml:space="preserve"> growth </w:t>
      </w:r>
      <w:r w:rsidR="00AE26D5" w:rsidRPr="000F2494">
        <w:rPr>
          <w:b w:val="0"/>
        </w:rPr>
        <w:t>s</w:t>
      </w:r>
      <w:r w:rsidR="00AE26D5">
        <w:rPr>
          <w:b w:val="0"/>
        </w:rPr>
        <w:t>ensitivitie</w:t>
      </w:r>
      <w:r w:rsidR="00AE26D5" w:rsidRPr="000F2494">
        <w:rPr>
          <w:b w:val="0"/>
        </w:rPr>
        <w:t xml:space="preserve">s </w:t>
      </w:r>
      <w:r w:rsidR="00B0543B">
        <w:rPr>
          <w:b w:val="0"/>
        </w:rPr>
        <w:t>are ba</w:t>
      </w:r>
      <w:r w:rsidR="00B0543B" w:rsidRPr="000F2494">
        <w:rPr>
          <w:b w:val="0"/>
        </w:rPr>
        <w:t>se</w:t>
      </w:r>
      <w:r w:rsidR="00B0543B">
        <w:rPr>
          <w:b w:val="0"/>
        </w:rPr>
        <w:t>d</w:t>
      </w:r>
      <w:r w:rsidR="00B0543B" w:rsidRPr="000F2494">
        <w:rPr>
          <w:b w:val="0"/>
        </w:rPr>
        <w:t xml:space="preserve"> </w:t>
      </w:r>
      <w:r w:rsidR="00B0543B">
        <w:rPr>
          <w:b w:val="0"/>
        </w:rPr>
        <w:t xml:space="preserve">on </w:t>
      </w:r>
      <w:r w:rsidR="00051DAC">
        <w:rPr>
          <w:b w:val="0"/>
        </w:rPr>
        <w:t xml:space="preserve">the Optimistic and Pessimistic </w:t>
      </w:r>
      <w:r w:rsidR="00000365">
        <w:rPr>
          <w:b w:val="0"/>
        </w:rPr>
        <w:t>scenarios</w:t>
      </w:r>
      <w:r w:rsidR="00AE26D5">
        <w:rPr>
          <w:b w:val="0"/>
        </w:rPr>
        <w:t xml:space="preserve"> </w:t>
      </w:r>
      <w:r w:rsidR="00B0543B">
        <w:rPr>
          <w:b w:val="0"/>
        </w:rPr>
        <w:t>developed by</w:t>
      </w:r>
      <w:r w:rsidR="00B0543B" w:rsidRPr="000F2494">
        <w:rPr>
          <w:b w:val="0"/>
        </w:rPr>
        <w:t xml:space="preserve"> </w:t>
      </w:r>
      <w:r w:rsidR="006A7D0A">
        <w:rPr>
          <w:b w:val="0"/>
        </w:rPr>
        <w:t>S&amp;P Global</w:t>
      </w:r>
      <w:r w:rsidRPr="000F2494">
        <w:rPr>
          <w:b w:val="0"/>
        </w:rPr>
        <w:t>.</w:t>
      </w:r>
      <w:bookmarkEnd w:id="455"/>
      <w:r w:rsidRPr="000F2494">
        <w:rPr>
          <w:b w:val="0"/>
        </w:rPr>
        <w:t xml:space="preserve"> </w:t>
      </w:r>
      <w:r w:rsidR="00D91767" w:rsidRPr="000F2494">
        <w:rPr>
          <w:b w:val="0"/>
        </w:rPr>
        <w:t>These sensitivities were performed to identify impacts to the energy and peak demand forecasts pursuant to the specified changes in economic variables utilized in the energy forecast.</w:t>
      </w:r>
      <w:r w:rsidR="00B54124">
        <w:rPr>
          <w:b w:val="0"/>
        </w:rPr>
        <w:t xml:space="preserve"> </w:t>
      </w:r>
      <w:r w:rsidR="00D23FB9">
        <w:rPr>
          <w:b w:val="0"/>
        </w:rPr>
        <w:t xml:space="preserve">The no load growth sensitivity holds sales and peaks constant at </w:t>
      </w:r>
      <w:r w:rsidR="007F422A">
        <w:rPr>
          <w:b w:val="0"/>
        </w:rPr>
        <w:t xml:space="preserve">2025 </w:t>
      </w:r>
      <w:r w:rsidR="00D23FB9">
        <w:rPr>
          <w:b w:val="0"/>
        </w:rPr>
        <w:t xml:space="preserve">levels. </w:t>
      </w:r>
    </w:p>
    <w:p w14:paraId="2D890974" w14:textId="77777777" w:rsidR="00CF098E" w:rsidRDefault="00CF098E" w:rsidP="00C75DE6">
      <w:pPr>
        <w:pStyle w:val="BodyText"/>
        <w:spacing w:after="0" w:line="360" w:lineRule="auto"/>
        <w:jc w:val="both"/>
        <w:rPr>
          <w:b w:val="0"/>
        </w:rPr>
      </w:pPr>
    </w:p>
    <w:p w14:paraId="4DBDF27B" w14:textId="77777777" w:rsidR="00F05C59" w:rsidRDefault="00F05C59" w:rsidP="00C75DE6">
      <w:pPr>
        <w:pStyle w:val="BodyText"/>
        <w:spacing w:after="0" w:line="360" w:lineRule="auto"/>
        <w:jc w:val="both"/>
        <w:rPr>
          <w:b w:val="0"/>
        </w:rPr>
      </w:pPr>
      <w:r>
        <w:rPr>
          <w:b w:val="0"/>
        </w:rPr>
        <w:t>The high growth in large load customers sensitivity uses the P95 load value, as was done in the 2023 IRP Update. P95 indicates a load level where 95% of all potential combinations from the Monte Carlo simulations fall at or below this level, and 5% of the load combinations fall above it. Budget 2025 utilizes the P50 value, which corresponds to the median load level within the range of potential outcomes.</w:t>
      </w:r>
    </w:p>
    <w:p w14:paraId="372325F7" w14:textId="77777777" w:rsidR="006B47CE" w:rsidRDefault="006B47CE" w:rsidP="00C75DE6">
      <w:pPr>
        <w:pStyle w:val="BodyText"/>
        <w:spacing w:after="0" w:line="360" w:lineRule="auto"/>
        <w:jc w:val="both"/>
        <w:rPr>
          <w:b w:val="0"/>
        </w:rPr>
      </w:pPr>
    </w:p>
    <w:p w14:paraId="13AE2008" w14:textId="77777777" w:rsidR="00017367" w:rsidRPr="000F2494" w:rsidRDefault="00017367" w:rsidP="00017367">
      <w:pPr>
        <w:pStyle w:val="BodyText"/>
        <w:spacing w:after="0" w:line="360" w:lineRule="auto"/>
        <w:jc w:val="both"/>
        <w:rPr>
          <w:b w:val="0"/>
        </w:rPr>
      </w:pPr>
      <w:r>
        <w:rPr>
          <w:b w:val="0"/>
        </w:rPr>
        <w:t xml:space="preserve">One of the DSM sensitivities assumes that there is no DSM included over the forecast horizon, while the other includes additional DSM above what is included in the base case. </w:t>
      </w:r>
    </w:p>
    <w:p w14:paraId="08D615A0" w14:textId="6661205B" w:rsidR="007A2775" w:rsidRDefault="00BE5234" w:rsidP="00C75DE6">
      <w:pPr>
        <w:pStyle w:val="BodyText"/>
        <w:spacing w:after="0" w:line="360" w:lineRule="auto"/>
        <w:jc w:val="both"/>
        <w:rPr>
          <w:b w:val="0"/>
        </w:rPr>
      </w:pPr>
      <w:r>
        <w:rPr>
          <w:b w:val="0"/>
        </w:rPr>
        <w:lastRenderedPageBreak/>
        <w:t>The</w:t>
      </w:r>
      <w:r w:rsidR="0002293B">
        <w:rPr>
          <w:b w:val="0"/>
        </w:rPr>
        <w:t xml:space="preserve"> </w:t>
      </w:r>
      <w:r w:rsidR="00CF098E">
        <w:rPr>
          <w:b w:val="0"/>
        </w:rPr>
        <w:t>20-year</w:t>
      </w:r>
      <w:r w:rsidR="00A81B03">
        <w:rPr>
          <w:b w:val="0"/>
        </w:rPr>
        <w:t xml:space="preserve"> weather </w:t>
      </w:r>
      <w:r w:rsidR="0002293B">
        <w:rPr>
          <w:b w:val="0"/>
        </w:rPr>
        <w:t xml:space="preserve">sensitivity is the result of </w:t>
      </w:r>
      <w:r w:rsidR="00C92BD7">
        <w:rPr>
          <w:b w:val="0"/>
        </w:rPr>
        <w:t>the</w:t>
      </w:r>
      <w:r w:rsidR="0002293B">
        <w:rPr>
          <w:b w:val="0"/>
        </w:rPr>
        <w:t xml:space="preserve"> stipulation from the 2019 IRP. It includes a weather normal definition based on the most recent 20 years of weather data</w:t>
      </w:r>
      <w:r w:rsidR="0061095E">
        <w:rPr>
          <w:b w:val="0"/>
        </w:rPr>
        <w:t xml:space="preserve"> rather than the 44-year definition </w:t>
      </w:r>
      <w:r w:rsidR="00BC23A1">
        <w:rPr>
          <w:b w:val="0"/>
        </w:rPr>
        <w:t>us</w:t>
      </w:r>
      <w:r w:rsidR="0061095E">
        <w:rPr>
          <w:b w:val="0"/>
        </w:rPr>
        <w:t>ed in Budget 2025</w:t>
      </w:r>
      <w:r w:rsidR="0002293B">
        <w:rPr>
          <w:b w:val="0"/>
        </w:rPr>
        <w:t xml:space="preserve">. </w:t>
      </w:r>
    </w:p>
    <w:p w14:paraId="5BFAC999" w14:textId="77777777" w:rsidR="00053257" w:rsidRDefault="00053257" w:rsidP="00C75DE6">
      <w:pPr>
        <w:pStyle w:val="BodyText"/>
        <w:spacing w:after="0" w:line="360" w:lineRule="auto"/>
        <w:jc w:val="both"/>
        <w:rPr>
          <w:b w:val="0"/>
        </w:rPr>
      </w:pPr>
    </w:p>
    <w:p w14:paraId="1535F091" w14:textId="128E0446" w:rsidR="008677F3" w:rsidRDefault="000F2494" w:rsidP="008677F3">
      <w:pPr>
        <w:pStyle w:val="BodyText"/>
        <w:spacing w:line="360" w:lineRule="auto"/>
        <w:jc w:val="both"/>
        <w:rPr>
          <w:b w:val="0"/>
        </w:rPr>
      </w:pPr>
      <w:r w:rsidRPr="000F2494">
        <w:rPr>
          <w:b w:val="0"/>
        </w:rPr>
        <w:t xml:space="preserve">The variables and results of the sensitivities </w:t>
      </w:r>
      <w:r w:rsidR="00815C9D">
        <w:rPr>
          <w:b w:val="0"/>
        </w:rPr>
        <w:t xml:space="preserve">on energy and demand </w:t>
      </w:r>
      <w:r w:rsidRPr="000F2494">
        <w:rPr>
          <w:b w:val="0"/>
        </w:rPr>
        <w:t>are identified in attachments</w:t>
      </w:r>
      <w:r w:rsidR="005B487B">
        <w:rPr>
          <w:b w:val="0"/>
        </w:rPr>
        <w:t xml:space="preserve"> 8.1-1, 8.1-2 and 8.1-3</w:t>
      </w:r>
      <w:r w:rsidRPr="000F2494">
        <w:rPr>
          <w:b w:val="0"/>
        </w:rPr>
        <w:t>.</w:t>
      </w:r>
      <w:r w:rsidR="00F55BD7" w:rsidRPr="000F2494" w:rsidDel="00F55BD7">
        <w:rPr>
          <w:b w:val="0"/>
        </w:rPr>
        <w:t xml:space="preserve"> </w:t>
      </w:r>
    </w:p>
    <w:p w14:paraId="79E7457A" w14:textId="77777777" w:rsidR="00F42685" w:rsidRDefault="00F42685" w:rsidP="00FA09D5">
      <w:pPr>
        <w:spacing w:line="276" w:lineRule="auto"/>
        <w:jc w:val="left"/>
        <w:rPr>
          <w:b w:val="0"/>
        </w:rPr>
        <w:sectPr w:rsidR="00F42685" w:rsidSect="00F3138A">
          <w:footerReference w:type="default" r:id="rId105"/>
          <w:pgSz w:w="12240" w:h="15840"/>
          <w:pgMar w:top="1440" w:right="1440" w:bottom="1440" w:left="1440" w:header="720" w:footer="720" w:gutter="0"/>
          <w:cols w:space="720"/>
          <w:docGrid w:linePitch="273"/>
        </w:sectPr>
      </w:pPr>
    </w:p>
    <w:p w14:paraId="6A7B28AC" w14:textId="78D1D9BA" w:rsidR="000F2494" w:rsidRDefault="00F55BD7" w:rsidP="00FA09D5">
      <w:pPr>
        <w:spacing w:line="276" w:lineRule="auto"/>
        <w:jc w:val="left"/>
      </w:pPr>
      <w:r w:rsidRPr="00F55BD7">
        <w:rPr>
          <w:bCs/>
        </w:rPr>
        <w:lastRenderedPageBreak/>
        <w:t xml:space="preserve">Attachment </w:t>
      </w:r>
      <w:r w:rsidR="00330771" w:rsidRPr="00F55BD7">
        <w:rPr>
          <w:bCs/>
        </w:rPr>
        <w:t>8</w:t>
      </w:r>
      <w:r w:rsidR="000F2494" w:rsidRPr="00F55BD7">
        <w:rPr>
          <w:bCs/>
        </w:rPr>
        <w:t>.</w:t>
      </w:r>
      <w:r w:rsidR="000F2494">
        <w:t>1-1: Annual Energy Sensitivity Summary</w:t>
      </w:r>
      <w:r w:rsidR="00A538B6">
        <w:t xml:space="preserve"> (GWh)</w:t>
      </w:r>
    </w:p>
    <w:p w14:paraId="70962DA4" w14:textId="77777777" w:rsidR="00211288" w:rsidRDefault="00211288" w:rsidP="00571B12">
      <w:pPr>
        <w:spacing w:after="200" w:line="276" w:lineRule="auto"/>
        <w:jc w:val="left"/>
        <w:rPr>
          <w:b w:val="0"/>
        </w:rPr>
      </w:pPr>
    </w:p>
    <w:p w14:paraId="1CDD8A3A" w14:textId="124D9089" w:rsidR="00A538B6" w:rsidRDefault="00227BA1" w:rsidP="00067FF5">
      <w:pPr>
        <w:pStyle w:val="BodyTextIndent"/>
        <w:spacing w:line="360" w:lineRule="auto"/>
        <w:ind w:left="0"/>
        <w:rPr>
          <w:b/>
        </w:rPr>
      </w:pPr>
      <w:r w:rsidRPr="00227BA1">
        <w:rPr>
          <w:b/>
          <w:noProof/>
        </w:rPr>
        <w:drawing>
          <wp:inline distT="0" distB="0" distL="0" distR="0" wp14:anchorId="5ACD81FD" wp14:editId="410A5912">
            <wp:extent cx="8229600" cy="4596765"/>
            <wp:effectExtent l="0" t="0" r="0" b="0"/>
            <wp:docPr id="1274418553"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8229600" cy="4596765"/>
                    </a:xfrm>
                    <a:prstGeom prst="rect">
                      <a:avLst/>
                    </a:prstGeom>
                    <a:noFill/>
                    <a:ln>
                      <a:noFill/>
                    </a:ln>
                  </pic:spPr>
                </pic:pic>
              </a:graphicData>
            </a:graphic>
          </wp:inline>
        </w:drawing>
      </w:r>
    </w:p>
    <w:p w14:paraId="20BBB840" w14:textId="7A6BA1A6" w:rsidR="006F65DD" w:rsidRDefault="006F65DD">
      <w:pPr>
        <w:spacing w:after="200" w:line="276" w:lineRule="auto"/>
        <w:jc w:val="left"/>
      </w:pPr>
      <w:bookmarkStart w:id="456" w:name="_Hlk90298654"/>
    </w:p>
    <w:p w14:paraId="3528282B" w14:textId="77777777" w:rsidR="00F55BD7" w:rsidRDefault="00F55BD7">
      <w:pPr>
        <w:spacing w:after="200" w:line="276" w:lineRule="auto"/>
        <w:jc w:val="left"/>
      </w:pPr>
      <w:r>
        <w:rPr>
          <w:b w:val="0"/>
        </w:rPr>
        <w:br w:type="page"/>
      </w:r>
    </w:p>
    <w:p w14:paraId="466D7806" w14:textId="0EE985D7" w:rsidR="00FB033C" w:rsidRDefault="000F2494" w:rsidP="00F3242E">
      <w:pPr>
        <w:pStyle w:val="BodyTextIndent"/>
        <w:spacing w:after="0" w:line="360" w:lineRule="auto"/>
        <w:ind w:left="0"/>
        <w:jc w:val="left"/>
        <w:rPr>
          <w:b/>
        </w:rPr>
      </w:pPr>
      <w:r>
        <w:rPr>
          <w:b/>
        </w:rPr>
        <w:lastRenderedPageBreak/>
        <w:t xml:space="preserve">Attachment </w:t>
      </w:r>
      <w:r w:rsidR="00330771">
        <w:rPr>
          <w:b/>
        </w:rPr>
        <w:t>8</w:t>
      </w:r>
      <w:r>
        <w:rPr>
          <w:b/>
        </w:rPr>
        <w:t xml:space="preserve">.1-2: </w:t>
      </w:r>
      <w:r w:rsidR="006F65DD">
        <w:rPr>
          <w:b/>
        </w:rPr>
        <w:t>Annual/</w:t>
      </w:r>
      <w:r w:rsidR="00BF763D">
        <w:rPr>
          <w:b/>
        </w:rPr>
        <w:t xml:space="preserve">Summer </w:t>
      </w:r>
      <w:r>
        <w:rPr>
          <w:b/>
        </w:rPr>
        <w:t>Peak Demand Sensitivity Summary</w:t>
      </w:r>
      <w:r w:rsidR="00A538B6">
        <w:rPr>
          <w:b/>
        </w:rPr>
        <w:t xml:space="preserve"> (MW)</w:t>
      </w:r>
      <w:bookmarkEnd w:id="456"/>
    </w:p>
    <w:p w14:paraId="15B20C67" w14:textId="77777777" w:rsidR="00211288" w:rsidRDefault="00211288" w:rsidP="000F2494">
      <w:pPr>
        <w:pStyle w:val="BodyTextIndent"/>
        <w:spacing w:line="360" w:lineRule="auto"/>
        <w:ind w:left="0"/>
        <w:jc w:val="left"/>
        <w:rPr>
          <w:b/>
        </w:rPr>
      </w:pPr>
    </w:p>
    <w:p w14:paraId="4936F878" w14:textId="0AD9DD35" w:rsidR="00A538B6" w:rsidRDefault="00CD087D" w:rsidP="00067FF5">
      <w:pPr>
        <w:pStyle w:val="BodyTextIndent"/>
        <w:spacing w:line="360" w:lineRule="auto"/>
        <w:ind w:left="0"/>
      </w:pPr>
      <w:r w:rsidRPr="00CD087D">
        <w:rPr>
          <w:noProof/>
        </w:rPr>
        <w:drawing>
          <wp:inline distT="0" distB="0" distL="0" distR="0" wp14:anchorId="53D0F1FD" wp14:editId="090293F5">
            <wp:extent cx="8229600" cy="4596765"/>
            <wp:effectExtent l="0" t="0" r="0" b="0"/>
            <wp:docPr id="1535641774"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8229600" cy="4596765"/>
                    </a:xfrm>
                    <a:prstGeom prst="rect">
                      <a:avLst/>
                    </a:prstGeom>
                    <a:noFill/>
                    <a:ln>
                      <a:noFill/>
                    </a:ln>
                  </pic:spPr>
                </pic:pic>
              </a:graphicData>
            </a:graphic>
          </wp:inline>
        </w:drawing>
      </w:r>
    </w:p>
    <w:p w14:paraId="5DED9C74" w14:textId="2E49D676" w:rsidR="00A538B6" w:rsidRDefault="00A538B6">
      <w:pPr>
        <w:spacing w:after="200" w:line="276" w:lineRule="auto"/>
        <w:jc w:val="left"/>
        <w:rPr>
          <w:b w:val="0"/>
        </w:rPr>
      </w:pPr>
      <w:r>
        <w:br w:type="page"/>
      </w:r>
    </w:p>
    <w:p w14:paraId="61B53A6B" w14:textId="10E5B940" w:rsidR="000F2494" w:rsidRDefault="00A538B6" w:rsidP="00B6227B">
      <w:pPr>
        <w:pStyle w:val="BodyTextIndent"/>
        <w:spacing w:after="0" w:line="360" w:lineRule="auto"/>
        <w:ind w:left="0"/>
        <w:jc w:val="left"/>
        <w:rPr>
          <w:b/>
        </w:rPr>
      </w:pPr>
      <w:r>
        <w:rPr>
          <w:b/>
        </w:rPr>
        <w:lastRenderedPageBreak/>
        <w:t xml:space="preserve">Attachment </w:t>
      </w:r>
      <w:r w:rsidR="00330771">
        <w:rPr>
          <w:b/>
        </w:rPr>
        <w:t>8</w:t>
      </w:r>
      <w:r>
        <w:rPr>
          <w:b/>
        </w:rPr>
        <w:t>.1-3: Winter Peak Demand Sensitivity Summary</w:t>
      </w:r>
      <w:r w:rsidR="0008228B">
        <w:rPr>
          <w:b/>
        </w:rPr>
        <w:t xml:space="preserve"> (MW)</w:t>
      </w:r>
    </w:p>
    <w:p w14:paraId="1FFDDCAE" w14:textId="77777777" w:rsidR="00211288" w:rsidRDefault="00211288" w:rsidP="000F2494">
      <w:pPr>
        <w:pStyle w:val="BodyTextIndent"/>
        <w:spacing w:line="360" w:lineRule="auto"/>
        <w:ind w:left="0"/>
        <w:jc w:val="left"/>
        <w:rPr>
          <w:b/>
        </w:rPr>
      </w:pPr>
    </w:p>
    <w:p w14:paraId="671C54FE" w14:textId="5717DFBD" w:rsidR="00740FDB" w:rsidRDefault="0059671F" w:rsidP="00067FF5">
      <w:pPr>
        <w:spacing w:after="200" w:line="276" w:lineRule="auto"/>
        <w:rPr>
          <w:b w:val="0"/>
        </w:rPr>
      </w:pPr>
      <w:bookmarkStart w:id="457" w:name="_Toc347120447"/>
      <w:r w:rsidRPr="0059671F">
        <w:rPr>
          <w:b w:val="0"/>
          <w:noProof/>
        </w:rPr>
        <w:drawing>
          <wp:inline distT="0" distB="0" distL="0" distR="0" wp14:anchorId="5D127DCC" wp14:editId="257AA76E">
            <wp:extent cx="8229600" cy="4596765"/>
            <wp:effectExtent l="0" t="0" r="0" b="0"/>
            <wp:docPr id="876208245"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8229600" cy="4596765"/>
                    </a:xfrm>
                    <a:prstGeom prst="rect">
                      <a:avLst/>
                    </a:prstGeom>
                    <a:noFill/>
                    <a:ln>
                      <a:noFill/>
                    </a:ln>
                  </pic:spPr>
                </pic:pic>
              </a:graphicData>
            </a:graphic>
          </wp:inline>
        </w:drawing>
      </w:r>
    </w:p>
    <w:p w14:paraId="01756843" w14:textId="77777777" w:rsidR="00800CCF" w:rsidRDefault="00800CCF">
      <w:pPr>
        <w:spacing w:after="200" w:line="276" w:lineRule="auto"/>
        <w:jc w:val="left"/>
        <w:rPr>
          <w:b w:val="0"/>
        </w:rPr>
        <w:sectPr w:rsidR="00800CCF" w:rsidSect="00F42685">
          <w:pgSz w:w="15840" w:h="12240" w:orient="landscape"/>
          <w:pgMar w:top="1440" w:right="1440" w:bottom="1440" w:left="1440" w:header="720" w:footer="720" w:gutter="0"/>
          <w:cols w:space="720"/>
          <w:docGrid w:linePitch="273"/>
        </w:sectPr>
      </w:pPr>
    </w:p>
    <w:p w14:paraId="01F6167F" w14:textId="0BBE8420" w:rsidR="00EC1C35" w:rsidRPr="00B34F67" w:rsidRDefault="00BA00DE" w:rsidP="00EC1C35">
      <w:pPr>
        <w:pStyle w:val="Heading1"/>
        <w:jc w:val="left"/>
        <w:rPr>
          <w:rFonts w:ascii="Arial" w:hAnsi="Arial" w:cs="Arial"/>
          <w:bCs w:val="0"/>
          <w:color w:val="FF0000"/>
        </w:rPr>
      </w:pPr>
      <w:bookmarkStart w:id="458" w:name="_Toc188257171"/>
      <w:bookmarkStart w:id="459" w:name="_Toc188257386"/>
      <w:bookmarkStart w:id="460" w:name="_Toc188257610"/>
      <w:bookmarkStart w:id="461" w:name="_Toc189162619"/>
      <w:r>
        <w:rPr>
          <w:rFonts w:ascii="Arial" w:hAnsi="Arial" w:cs="Arial"/>
          <w:b/>
          <w:color w:val="auto"/>
        </w:rPr>
        <w:lastRenderedPageBreak/>
        <w:t>8</w:t>
      </w:r>
      <w:r w:rsidR="00EC1C35" w:rsidRPr="00EC1C35">
        <w:rPr>
          <w:rFonts w:ascii="Arial" w:hAnsi="Arial" w:cs="Arial"/>
          <w:b/>
          <w:color w:val="auto"/>
        </w:rPr>
        <w:t>.2</w:t>
      </w:r>
      <w:r w:rsidR="00EC1C35" w:rsidRPr="00EC1C35">
        <w:rPr>
          <w:rFonts w:ascii="Arial" w:hAnsi="Arial" w:cs="Arial"/>
          <w:b/>
          <w:color w:val="auto"/>
        </w:rPr>
        <w:tab/>
        <w:t>SCENARIOS</w:t>
      </w:r>
      <w:bookmarkEnd w:id="457"/>
      <w:bookmarkEnd w:id="458"/>
      <w:bookmarkEnd w:id="459"/>
      <w:bookmarkEnd w:id="460"/>
      <w:bookmarkEnd w:id="461"/>
    </w:p>
    <w:p w14:paraId="58C9C11B" w14:textId="77777777" w:rsidR="00EC1C35" w:rsidRPr="003A3426" w:rsidRDefault="00EC1C35" w:rsidP="00EC1C35">
      <w:pPr>
        <w:pStyle w:val="BodyText"/>
      </w:pPr>
    </w:p>
    <w:p w14:paraId="406AEE47" w14:textId="046A67AC" w:rsidR="00E61FD3" w:rsidRDefault="00491D46" w:rsidP="00491D46">
      <w:pPr>
        <w:spacing w:line="360" w:lineRule="auto"/>
        <w:jc w:val="both"/>
        <w:rPr>
          <w:b w:val="0"/>
        </w:rPr>
      </w:pPr>
      <w:r w:rsidRPr="00491D46">
        <w:rPr>
          <w:b w:val="0"/>
        </w:rPr>
        <w:t>Many factors affecting resource planning involve future uncertainties. Thus, the Company creates scenarios to help understand these future uncertainties, which allows it to make appropriate planning decisions. Key uncertainties affecting planning include (1) future pressure on CO</w:t>
      </w:r>
      <w:r w:rsidRPr="00491D46">
        <w:rPr>
          <w:b w:val="0"/>
          <w:vertAlign w:val="subscript"/>
        </w:rPr>
        <w:t>2</w:t>
      </w:r>
      <w:r w:rsidRPr="00491D46">
        <w:rPr>
          <w:b w:val="0"/>
        </w:rPr>
        <w:t xml:space="preserve"> and other greenhouse gas (“GHG”) emissions, (2) cost and performance of future generating technologies, (3) future load growth, and (4) future fuel prices. To construct its planning scenarios, the Company identifies different reasonably plausible views of the future that are meaningfully different from one another in each of these four areas. These views are then combined to create several scenarios. For each scenario, the Company uses its modeling system, </w:t>
      </w:r>
      <w:r w:rsidR="004F026C">
        <w:rPr>
          <w:b w:val="0"/>
        </w:rPr>
        <w:t>Aurora</w:t>
      </w:r>
      <w:r w:rsidRPr="00491D46">
        <w:rPr>
          <w:b w:val="0"/>
        </w:rPr>
        <w:t>, to identify a least-cost expansion plan that reliably meets load and satisfies many other conditions. The views and scenarios are refreshed annually. For Budget 2025 the Company created nine scenarios</w:t>
      </w:r>
      <w:r w:rsidR="00E61FD3">
        <w:rPr>
          <w:b w:val="0"/>
        </w:rPr>
        <w:t xml:space="preserve">, </w:t>
      </w:r>
      <w:r w:rsidR="00E61FD3" w:rsidRPr="00B34F67">
        <w:rPr>
          <w:b w:val="0"/>
          <w:bCs/>
        </w:rPr>
        <w:t xml:space="preserve">which are summarized in </w:t>
      </w:r>
      <w:r w:rsidR="00E61FD3">
        <w:rPr>
          <w:b w:val="0"/>
          <w:bCs/>
        </w:rPr>
        <w:t>Table 8.2-1</w:t>
      </w:r>
      <w:r w:rsidR="00E61FD3" w:rsidRPr="00B34F67">
        <w:rPr>
          <w:b w:val="0"/>
          <w:bCs/>
        </w:rPr>
        <w:t>. For example, Scenario 1 (111-MG0) is defined by pressure on CO</w:t>
      </w:r>
      <w:r w:rsidR="00E61FD3" w:rsidRPr="00B34F67">
        <w:rPr>
          <w:b w:val="0"/>
          <w:bCs/>
          <w:vertAlign w:val="subscript"/>
        </w:rPr>
        <w:t>2</w:t>
      </w:r>
      <w:r w:rsidR="00E61FD3" w:rsidRPr="00B34F67">
        <w:rPr>
          <w:b w:val="0"/>
          <w:bCs/>
        </w:rPr>
        <w:t xml:space="preserve"> emissions consistent with the 111 GHG Rules, includes the </w:t>
      </w:r>
      <w:r w:rsidR="00E61FD3" w:rsidRPr="00B34F67">
        <w:rPr>
          <w:b w:val="0"/>
          <w:bCs/>
          <w:i/>
          <w:iCs/>
        </w:rPr>
        <w:t>Tech Portfolio</w:t>
      </w:r>
      <w:r w:rsidR="00E61FD3" w:rsidRPr="00B34F67">
        <w:rPr>
          <w:b w:val="0"/>
          <w:bCs/>
        </w:rPr>
        <w:t xml:space="preserve"> view of future cost and performance of technologies, the </w:t>
      </w:r>
      <w:r w:rsidR="00E61FD3" w:rsidRPr="00B34F67">
        <w:rPr>
          <w:b w:val="0"/>
          <w:bCs/>
          <w:i/>
          <w:iCs/>
        </w:rPr>
        <w:t>Standard</w:t>
      </w:r>
      <w:r w:rsidR="00E61FD3" w:rsidRPr="00B34F67">
        <w:rPr>
          <w:b w:val="0"/>
          <w:bCs/>
        </w:rPr>
        <w:t xml:space="preserve"> load forecast view, and the </w:t>
      </w:r>
      <w:r w:rsidR="00E61FD3" w:rsidRPr="00B34F67">
        <w:rPr>
          <w:b w:val="0"/>
          <w:bCs/>
          <w:i/>
          <w:iCs/>
        </w:rPr>
        <w:t>Moderate</w:t>
      </w:r>
      <w:r w:rsidR="00E61FD3" w:rsidRPr="00B34F67">
        <w:rPr>
          <w:b w:val="0"/>
          <w:bCs/>
        </w:rPr>
        <w:t xml:space="preserve"> view of future fuel prices.</w:t>
      </w:r>
      <w:r w:rsidRPr="00491D46">
        <w:rPr>
          <w:b w:val="0"/>
        </w:rPr>
        <w:t> </w:t>
      </w:r>
    </w:p>
    <w:p w14:paraId="0A471585" w14:textId="77777777" w:rsidR="00E61FD3" w:rsidRDefault="00E61FD3" w:rsidP="00491D46">
      <w:pPr>
        <w:spacing w:line="360" w:lineRule="auto"/>
        <w:jc w:val="both"/>
        <w:rPr>
          <w:b w:val="0"/>
        </w:rPr>
      </w:pPr>
    </w:p>
    <w:p w14:paraId="5A7267BE" w14:textId="5D6D7077" w:rsidR="00491D46" w:rsidRDefault="00CC1C1A" w:rsidP="00491D46">
      <w:pPr>
        <w:spacing w:line="360" w:lineRule="auto"/>
        <w:jc w:val="both"/>
        <w:rPr>
          <w:b w:val="0"/>
        </w:rPr>
      </w:pPr>
      <w:r>
        <w:rPr>
          <w:b w:val="0"/>
        </w:rPr>
        <w:t xml:space="preserve">This section focuses on the </w:t>
      </w:r>
      <w:r w:rsidR="000F785E">
        <w:rPr>
          <w:b w:val="0"/>
        </w:rPr>
        <w:t xml:space="preserve">load forecast used in the scenarios. </w:t>
      </w:r>
      <w:r w:rsidR="00491D46">
        <w:rPr>
          <w:b w:val="0"/>
        </w:rPr>
        <w:t xml:space="preserve">For more detailed information on </w:t>
      </w:r>
      <w:r w:rsidR="00970113">
        <w:rPr>
          <w:b w:val="0"/>
        </w:rPr>
        <w:t xml:space="preserve">the </w:t>
      </w:r>
      <w:r w:rsidR="00983B51">
        <w:rPr>
          <w:b w:val="0"/>
        </w:rPr>
        <w:t xml:space="preserve">GHG </w:t>
      </w:r>
      <w:r w:rsidR="006E19AB">
        <w:rPr>
          <w:b w:val="0"/>
        </w:rPr>
        <w:t xml:space="preserve">pressure </w:t>
      </w:r>
      <w:r w:rsidR="00865BC7">
        <w:rPr>
          <w:b w:val="0"/>
        </w:rPr>
        <w:t>view</w:t>
      </w:r>
      <w:r w:rsidR="006575EA">
        <w:rPr>
          <w:b w:val="0"/>
        </w:rPr>
        <w:t>, the Tech view</w:t>
      </w:r>
      <w:r w:rsidR="003B19D7">
        <w:rPr>
          <w:b w:val="0"/>
        </w:rPr>
        <w:t>,</w:t>
      </w:r>
      <w:r w:rsidR="00970113">
        <w:rPr>
          <w:b w:val="0"/>
        </w:rPr>
        <w:t xml:space="preserve"> </w:t>
      </w:r>
      <w:r w:rsidR="009968C8">
        <w:rPr>
          <w:b w:val="0"/>
        </w:rPr>
        <w:t xml:space="preserve">and the </w:t>
      </w:r>
      <w:r w:rsidR="00B10413">
        <w:rPr>
          <w:b w:val="0"/>
        </w:rPr>
        <w:t>Fuel view</w:t>
      </w:r>
      <w:r w:rsidR="003B19D7">
        <w:rPr>
          <w:b w:val="0"/>
        </w:rPr>
        <w:t xml:space="preserve"> </w:t>
      </w:r>
      <w:r w:rsidR="00D51ED5">
        <w:rPr>
          <w:b w:val="0"/>
        </w:rPr>
        <w:t>used in the</w:t>
      </w:r>
      <w:r w:rsidR="00AE6B95">
        <w:rPr>
          <w:b w:val="0"/>
        </w:rPr>
        <w:t xml:space="preserve"> </w:t>
      </w:r>
      <w:r w:rsidR="00491D46">
        <w:rPr>
          <w:b w:val="0"/>
        </w:rPr>
        <w:t>scenarios, please see Chapter 3 in the 2025 IRP Main Document.</w:t>
      </w:r>
    </w:p>
    <w:p w14:paraId="430C6BC4" w14:textId="77777777" w:rsidR="00617C45" w:rsidRDefault="00617C45" w:rsidP="00491D46">
      <w:pPr>
        <w:spacing w:line="360" w:lineRule="auto"/>
        <w:jc w:val="both"/>
        <w:rPr>
          <w:b w:val="0"/>
        </w:rPr>
      </w:pPr>
    </w:p>
    <w:p w14:paraId="3397DE7A" w14:textId="63262772" w:rsidR="006A2219" w:rsidRPr="000747A1" w:rsidRDefault="00100218" w:rsidP="00980B5C">
      <w:pPr>
        <w:pStyle w:val="BodyTextIndent"/>
        <w:spacing w:line="360" w:lineRule="auto"/>
        <w:ind w:left="0"/>
        <w:jc w:val="left"/>
        <w:rPr>
          <w:b/>
        </w:rPr>
      </w:pPr>
      <w:r>
        <w:rPr>
          <w:b/>
        </w:rPr>
        <w:t>Table</w:t>
      </w:r>
      <w:r w:rsidRPr="000747A1">
        <w:rPr>
          <w:b/>
        </w:rPr>
        <w:t xml:space="preserve"> </w:t>
      </w:r>
      <w:r w:rsidR="00361E58" w:rsidRPr="000747A1">
        <w:rPr>
          <w:b/>
        </w:rPr>
        <w:t>8.2</w:t>
      </w:r>
      <w:r w:rsidR="005608EF" w:rsidRPr="000747A1">
        <w:rPr>
          <w:b/>
        </w:rPr>
        <w:t>-</w:t>
      </w:r>
      <w:r w:rsidR="006A2219" w:rsidRPr="000747A1">
        <w:rPr>
          <w:b/>
        </w:rPr>
        <w:fldChar w:fldCharType="begin"/>
      </w:r>
      <w:r w:rsidR="006A2219" w:rsidRPr="000747A1">
        <w:rPr>
          <w:b/>
        </w:rPr>
        <w:instrText>SEQ Table \* ARABIC</w:instrText>
      </w:r>
      <w:r w:rsidR="006A2219" w:rsidRPr="000747A1">
        <w:rPr>
          <w:b/>
        </w:rPr>
        <w:fldChar w:fldCharType="separate"/>
      </w:r>
      <w:r w:rsidR="0076440C" w:rsidRPr="000747A1">
        <w:rPr>
          <w:b/>
        </w:rPr>
        <w:t>1</w:t>
      </w:r>
      <w:r w:rsidR="006A2219" w:rsidRPr="000747A1">
        <w:rPr>
          <w:b/>
        </w:rPr>
        <w:fldChar w:fldCharType="end"/>
      </w:r>
      <w:r w:rsidR="006A2219" w:rsidRPr="000747A1">
        <w:rPr>
          <w:b/>
        </w:rPr>
        <w:t xml:space="preserve">: </w:t>
      </w:r>
      <w:r w:rsidR="005608EF" w:rsidRPr="000747A1">
        <w:rPr>
          <w:b/>
        </w:rPr>
        <w:t xml:space="preserve">B2025 </w:t>
      </w:r>
      <w:r w:rsidR="006A2219" w:rsidRPr="000747A1">
        <w:rPr>
          <w:b/>
        </w:rPr>
        <w:t>Scenario Design</w:t>
      </w:r>
    </w:p>
    <w:p w14:paraId="643ECCA7" w14:textId="570C0E6D" w:rsidR="006A2219" w:rsidRDefault="00E60145" w:rsidP="006A2219">
      <w:r w:rsidRPr="00E60145">
        <w:rPr>
          <w:noProof/>
        </w:rPr>
        <w:drawing>
          <wp:inline distT="0" distB="0" distL="0" distR="0" wp14:anchorId="3D9960DA" wp14:editId="7C339CC7">
            <wp:extent cx="5943600" cy="2553970"/>
            <wp:effectExtent l="0" t="0" r="0" b="0"/>
            <wp:docPr id="123138171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5943600" cy="2553970"/>
                    </a:xfrm>
                    <a:prstGeom prst="rect">
                      <a:avLst/>
                    </a:prstGeom>
                    <a:noFill/>
                    <a:ln>
                      <a:noFill/>
                    </a:ln>
                  </pic:spPr>
                </pic:pic>
              </a:graphicData>
            </a:graphic>
          </wp:inline>
        </w:drawing>
      </w:r>
      <w:r w:rsidRPr="00E60145">
        <w:br/>
      </w:r>
    </w:p>
    <w:p w14:paraId="334F0D59" w14:textId="565214C0" w:rsidR="006A2219" w:rsidRDefault="00FE249C" w:rsidP="00033FDA">
      <w:pPr>
        <w:spacing w:before="240" w:after="240" w:line="360" w:lineRule="auto"/>
        <w:jc w:val="both"/>
        <w:rPr>
          <w:b w:val="0"/>
        </w:rPr>
      </w:pPr>
      <w:r w:rsidRPr="00033FDA">
        <w:rPr>
          <w:b w:val="0"/>
        </w:rPr>
        <w:t xml:space="preserve">As shown in Table </w:t>
      </w:r>
      <w:r>
        <w:rPr>
          <w:b w:val="0"/>
        </w:rPr>
        <w:t>8.2</w:t>
      </w:r>
      <w:r w:rsidR="005D20D7">
        <w:rPr>
          <w:b w:val="0"/>
        </w:rPr>
        <w:t>-1</w:t>
      </w:r>
      <w:r w:rsidRPr="00033FDA">
        <w:rPr>
          <w:b w:val="0"/>
        </w:rPr>
        <w:t xml:space="preserve">, the Company divided its scenarios into two sets. The first set adopts the view that the recently finalized rules associated with GHG emissions under sections 111(b) and 111(d) of the </w:t>
      </w:r>
      <w:r w:rsidRPr="00033FDA">
        <w:rPr>
          <w:b w:val="0"/>
        </w:rPr>
        <w:lastRenderedPageBreak/>
        <w:t xml:space="preserve">Clean Air Act remain in effect. There are three scenarios in this set. The other set of scenarios adopts the view that the 111 GHG Rules do not remain in effect. There are six scenarios in this set. All nine scenarios differ from one another by adopting different combinations of views in four key areas: the future degree of GHG pressure; the future cost and performance of generating and storage technologies; future load growth; and future price of fuels. </w:t>
      </w:r>
    </w:p>
    <w:p w14:paraId="4F7062CC" w14:textId="2460CFDD" w:rsidR="00033FDA" w:rsidRPr="005A29F9" w:rsidRDefault="00033FDA" w:rsidP="00033FDA">
      <w:pPr>
        <w:pStyle w:val="Heading2"/>
        <w:spacing w:line="360" w:lineRule="auto"/>
        <w:jc w:val="left"/>
        <w:rPr>
          <w:rFonts w:ascii="Arial" w:hAnsi="Arial" w:cs="Arial"/>
          <w:b/>
          <w:color w:val="auto"/>
          <w:sz w:val="20"/>
          <w:szCs w:val="20"/>
        </w:rPr>
      </w:pPr>
      <w:bookmarkStart w:id="462" w:name="_Toc188257172"/>
      <w:bookmarkStart w:id="463" w:name="_Toc188257387"/>
      <w:bookmarkStart w:id="464" w:name="_Toc188257611"/>
      <w:bookmarkStart w:id="465" w:name="_Toc189162620"/>
      <w:r>
        <w:rPr>
          <w:rFonts w:ascii="Arial" w:hAnsi="Arial" w:cs="Arial"/>
          <w:b/>
          <w:color w:val="auto"/>
          <w:sz w:val="20"/>
          <w:szCs w:val="20"/>
        </w:rPr>
        <w:t>8</w:t>
      </w:r>
      <w:r w:rsidRPr="005A29F9">
        <w:rPr>
          <w:rFonts w:ascii="Arial" w:hAnsi="Arial" w:cs="Arial"/>
          <w:b/>
          <w:color w:val="auto"/>
          <w:sz w:val="20"/>
          <w:szCs w:val="20"/>
        </w:rPr>
        <w:t>.</w:t>
      </w:r>
      <w:r>
        <w:rPr>
          <w:rFonts w:ascii="Arial" w:hAnsi="Arial" w:cs="Arial"/>
          <w:b/>
          <w:color w:val="auto"/>
          <w:sz w:val="20"/>
          <w:szCs w:val="20"/>
        </w:rPr>
        <w:t>2.1</w:t>
      </w:r>
      <w:r w:rsidRPr="005A29F9">
        <w:rPr>
          <w:rFonts w:ascii="Arial" w:hAnsi="Arial" w:cs="Arial"/>
          <w:b/>
          <w:color w:val="auto"/>
          <w:sz w:val="20"/>
          <w:szCs w:val="20"/>
        </w:rPr>
        <w:tab/>
      </w:r>
      <w:r>
        <w:rPr>
          <w:rFonts w:ascii="Arial" w:hAnsi="Arial" w:cs="Arial"/>
          <w:b/>
          <w:color w:val="auto"/>
          <w:sz w:val="20"/>
          <w:szCs w:val="20"/>
        </w:rPr>
        <w:t>Future Load Growth</w:t>
      </w:r>
      <w:bookmarkEnd w:id="462"/>
      <w:bookmarkEnd w:id="463"/>
      <w:bookmarkEnd w:id="464"/>
      <w:bookmarkEnd w:id="465"/>
    </w:p>
    <w:p w14:paraId="55E12C87" w14:textId="0DB0AA36" w:rsidR="00A86C8D" w:rsidRPr="00A86C8D" w:rsidRDefault="00A86C8D" w:rsidP="00033FDA">
      <w:pPr>
        <w:spacing w:before="240" w:line="360" w:lineRule="auto"/>
        <w:jc w:val="both"/>
        <w:rPr>
          <w:b w:val="0"/>
        </w:rPr>
      </w:pPr>
      <w:r w:rsidRPr="00A86C8D">
        <w:rPr>
          <w:b w:val="0"/>
        </w:rPr>
        <w:t>To assess future electricity consumption, the Company considers two different views of future load growth</w:t>
      </w:r>
      <w:r w:rsidR="004F026C">
        <w:rPr>
          <w:b w:val="0"/>
        </w:rPr>
        <w:t xml:space="preserve"> in its planning scenarios</w:t>
      </w:r>
      <w:r w:rsidRPr="00A86C8D">
        <w:rPr>
          <w:b w:val="0"/>
        </w:rPr>
        <w:t xml:space="preserve">. One is a </w:t>
      </w:r>
      <w:r w:rsidRPr="00A86C8D">
        <w:rPr>
          <w:b w:val="0"/>
          <w:i/>
          <w:iCs/>
        </w:rPr>
        <w:t>Standard</w:t>
      </w:r>
      <w:r w:rsidRPr="00A86C8D">
        <w:rPr>
          <w:b w:val="0"/>
        </w:rPr>
        <w:t xml:space="preserve"> view</w:t>
      </w:r>
      <w:r w:rsidR="00A72B7F">
        <w:rPr>
          <w:b w:val="0"/>
        </w:rPr>
        <w:t xml:space="preserve">, </w:t>
      </w:r>
      <w:r w:rsidR="00832AB2">
        <w:rPr>
          <w:b w:val="0"/>
        </w:rPr>
        <w:t xml:space="preserve">which is </w:t>
      </w:r>
      <w:r w:rsidR="00A72B7F">
        <w:rPr>
          <w:b w:val="0"/>
        </w:rPr>
        <w:t>Budget 2025</w:t>
      </w:r>
      <w:r w:rsidR="000E563A">
        <w:rPr>
          <w:b w:val="0"/>
        </w:rPr>
        <w:t>,</w:t>
      </w:r>
      <w:r w:rsidRPr="00A86C8D">
        <w:rPr>
          <w:b w:val="0"/>
        </w:rPr>
        <w:t xml:space="preserve"> and the other is a view consistent with </w:t>
      </w:r>
      <w:r w:rsidR="004F026C">
        <w:rPr>
          <w:b w:val="0"/>
        </w:rPr>
        <w:t xml:space="preserve">lower loads due to </w:t>
      </w:r>
      <w:r w:rsidRPr="00A86C8D">
        <w:rPr>
          <w:b w:val="0"/>
        </w:rPr>
        <w:t>higher future natural gas prices (</w:t>
      </w:r>
      <w:r w:rsidRPr="00A86C8D">
        <w:rPr>
          <w:b w:val="0"/>
          <w:i/>
          <w:iCs/>
        </w:rPr>
        <w:t>Standard w/ HG0 Delta</w:t>
      </w:r>
      <w:r w:rsidRPr="00A86C8D">
        <w:rPr>
          <w:b w:val="0"/>
        </w:rPr>
        <w:t>). </w:t>
      </w:r>
      <w:r w:rsidR="004F026C">
        <w:rPr>
          <w:b w:val="0"/>
        </w:rPr>
        <w:t>Information on additional load view sensitivities is found in Section 1.6 of this document and in the Financial Review in Technical Appendix Volume 2.</w:t>
      </w:r>
    </w:p>
    <w:p w14:paraId="3A761D52" w14:textId="77777777" w:rsidR="00A86C8D" w:rsidRPr="00A86C8D" w:rsidRDefault="00A86C8D" w:rsidP="00A86C8D">
      <w:pPr>
        <w:numPr>
          <w:ilvl w:val="0"/>
          <w:numId w:val="22"/>
        </w:numPr>
        <w:spacing w:before="240" w:line="360" w:lineRule="auto"/>
        <w:jc w:val="both"/>
        <w:rPr>
          <w:b w:val="0"/>
        </w:rPr>
      </w:pPr>
      <w:r w:rsidRPr="00A86C8D">
        <w:rPr>
          <w:b w:val="0"/>
          <w:u w:val="single"/>
        </w:rPr>
        <w:t>Standard</w:t>
      </w:r>
      <w:r w:rsidRPr="00A86C8D">
        <w:rPr>
          <w:b w:val="0"/>
        </w:rPr>
        <w:t>. The Company updates annually its forecast of electricity consumption through the planning horizon. The load forecast is prepared separately for each of the three types of customers (i.e., residential, commercial, and industrial) for each of the three retail operating companies and is aggregated into a System total for expansion planning modeling. This view of future load growth is used in most scenarios. This view includes significant growth of electricity consumption associated with commercial and industrial customers expected to initiate or expand operations as Company customers. At present, the Company sees this significant growth occurring through the mid-2030s. </w:t>
      </w:r>
    </w:p>
    <w:p w14:paraId="3F6237C6" w14:textId="73B4C53C" w:rsidR="001D456D" w:rsidRDefault="00A86C8D" w:rsidP="00B92C1E">
      <w:pPr>
        <w:numPr>
          <w:ilvl w:val="0"/>
          <w:numId w:val="23"/>
        </w:numPr>
        <w:spacing w:before="240" w:line="360" w:lineRule="auto"/>
        <w:jc w:val="both"/>
        <w:rPr>
          <w:b w:val="0"/>
        </w:rPr>
      </w:pPr>
      <w:r w:rsidRPr="00A903F3">
        <w:rPr>
          <w:b w:val="0"/>
          <w:u w:val="single"/>
        </w:rPr>
        <w:t>Standard w/</w:t>
      </w:r>
      <w:r w:rsidR="00442EE5" w:rsidRPr="00A903F3">
        <w:rPr>
          <w:b w:val="0"/>
          <w:u w:val="single"/>
        </w:rPr>
        <w:t xml:space="preserve"> </w:t>
      </w:r>
      <w:r w:rsidRPr="00A903F3">
        <w:rPr>
          <w:b w:val="0"/>
          <w:u w:val="single"/>
        </w:rPr>
        <w:t>HG0 Delta</w:t>
      </w:r>
      <w:r w:rsidRPr="00A903F3">
        <w:rPr>
          <w:b w:val="0"/>
        </w:rPr>
        <w:t xml:space="preserve">. The </w:t>
      </w:r>
      <w:r w:rsidRPr="00A903F3">
        <w:rPr>
          <w:b w:val="0"/>
          <w:i/>
          <w:iCs/>
        </w:rPr>
        <w:t>Standard w/ HG0 Delta</w:t>
      </w:r>
      <w:r w:rsidRPr="00A903F3">
        <w:rPr>
          <w:b w:val="0"/>
        </w:rPr>
        <w:t xml:space="preserve"> view recognizes the relationship between the future consumption of electricity and the future price of natural gas. This relationship is not straightforward because natural gas is both an input to electricity production and a substitute for electricity in some end uses. Thus, the Company has developed a load growth adjustment used in the scenario with higher future prices of natural gas. This load growth adjustment is derived from analyses done by the U.S. EIA for its AEO. The AEO identifies a different electricity consumption path associated with higher future natural gas prices, reflecting the important feedback in the relationship between future natural gas prices and future load growth.  </w:t>
      </w:r>
    </w:p>
    <w:p w14:paraId="6B45522B" w14:textId="0505823E" w:rsidR="00A86C8D" w:rsidRPr="00B92C1E" w:rsidRDefault="00A86C8D" w:rsidP="003D5F15">
      <w:pPr>
        <w:spacing w:before="240" w:line="360" w:lineRule="auto"/>
        <w:ind w:left="720"/>
        <w:jc w:val="both"/>
        <w:rPr>
          <w:b w:val="0"/>
        </w:rPr>
      </w:pPr>
      <w:r w:rsidRPr="00B92C1E">
        <w:rPr>
          <w:b w:val="0"/>
        </w:rPr>
        <w:t>For the B2025 planning process, the Company compared southeast U.S. electricity load growth in the AEO 2023 case with a higher future price of natural gas to southeast U.S. electricity load growth in the AEO 2023 Reference case. This difference was smoothed and then used as an adjustment to the Company’s Standard load growth view. </w:t>
      </w:r>
    </w:p>
    <w:p w14:paraId="7E36BA18" w14:textId="77777777" w:rsidR="006A2219" w:rsidRDefault="006A2219" w:rsidP="0039066A">
      <w:pPr>
        <w:spacing w:line="276" w:lineRule="auto"/>
        <w:jc w:val="left"/>
        <w:rPr>
          <w:bCs/>
        </w:rPr>
      </w:pPr>
    </w:p>
    <w:p w14:paraId="41EBA016" w14:textId="4989D906" w:rsidR="00AA3899" w:rsidRDefault="00EA3E85" w:rsidP="00620B7A">
      <w:pPr>
        <w:spacing w:after="200" w:line="360" w:lineRule="auto"/>
        <w:jc w:val="left"/>
        <w:rPr>
          <w:b w:val="0"/>
        </w:rPr>
      </w:pPr>
      <w:r>
        <w:rPr>
          <w:b w:val="0"/>
        </w:rPr>
        <w:lastRenderedPageBreak/>
        <w:t xml:space="preserve">These two different views of future load growth </w:t>
      </w:r>
      <w:r w:rsidR="008C5ED1">
        <w:rPr>
          <w:b w:val="0"/>
        </w:rPr>
        <w:t xml:space="preserve">are </w:t>
      </w:r>
      <w:r w:rsidR="00624379">
        <w:rPr>
          <w:b w:val="0"/>
        </w:rPr>
        <w:t xml:space="preserve">presented in </w:t>
      </w:r>
      <w:r w:rsidR="006A2219">
        <w:rPr>
          <w:b w:val="0"/>
        </w:rPr>
        <w:t xml:space="preserve">Attachment </w:t>
      </w:r>
      <w:r w:rsidR="00330771">
        <w:rPr>
          <w:b w:val="0"/>
        </w:rPr>
        <w:t>8</w:t>
      </w:r>
      <w:r w:rsidR="00567E1D">
        <w:rPr>
          <w:b w:val="0"/>
        </w:rPr>
        <w:t>.2-</w:t>
      </w:r>
      <w:r w:rsidR="00620B7A">
        <w:rPr>
          <w:b w:val="0"/>
        </w:rPr>
        <w:t>1</w:t>
      </w:r>
      <w:r w:rsidR="00A4127B">
        <w:rPr>
          <w:b w:val="0"/>
        </w:rPr>
        <w:t>.</w:t>
      </w:r>
      <w:r w:rsidR="00567E1D">
        <w:rPr>
          <w:b w:val="0"/>
        </w:rPr>
        <w:t xml:space="preserve"> </w:t>
      </w:r>
      <w:r w:rsidR="00B3428F">
        <w:rPr>
          <w:b w:val="0"/>
        </w:rPr>
        <w:t xml:space="preserve">These numbers reflect </w:t>
      </w:r>
      <w:r w:rsidR="00AE2484">
        <w:rPr>
          <w:b w:val="0"/>
        </w:rPr>
        <w:t xml:space="preserve">Georgia Power’s </w:t>
      </w:r>
      <w:r w:rsidR="00DC23AC">
        <w:rPr>
          <w:b w:val="0"/>
        </w:rPr>
        <w:t xml:space="preserve">portion </w:t>
      </w:r>
      <w:r w:rsidR="00BA32C5">
        <w:rPr>
          <w:b w:val="0"/>
        </w:rPr>
        <w:t xml:space="preserve">of </w:t>
      </w:r>
      <w:r w:rsidR="003D54D6">
        <w:rPr>
          <w:b w:val="0"/>
        </w:rPr>
        <w:t xml:space="preserve">the </w:t>
      </w:r>
      <w:r w:rsidR="00D4285D">
        <w:rPr>
          <w:b w:val="0"/>
        </w:rPr>
        <w:t xml:space="preserve">weather normal </w:t>
      </w:r>
      <w:r w:rsidR="00D52196">
        <w:rPr>
          <w:b w:val="0"/>
        </w:rPr>
        <w:t xml:space="preserve">annual total </w:t>
      </w:r>
      <w:r w:rsidR="00F85E84">
        <w:rPr>
          <w:b w:val="0"/>
        </w:rPr>
        <w:t xml:space="preserve">system </w:t>
      </w:r>
      <w:r w:rsidR="00C46CCB">
        <w:rPr>
          <w:b w:val="0"/>
        </w:rPr>
        <w:t xml:space="preserve">energy, </w:t>
      </w:r>
      <w:r w:rsidR="00C573FA">
        <w:rPr>
          <w:b w:val="0"/>
        </w:rPr>
        <w:t xml:space="preserve">annual system </w:t>
      </w:r>
      <w:r w:rsidR="00C46CCB">
        <w:rPr>
          <w:b w:val="0"/>
        </w:rPr>
        <w:t>summer</w:t>
      </w:r>
      <w:r w:rsidR="00C44D91">
        <w:rPr>
          <w:b w:val="0"/>
        </w:rPr>
        <w:t xml:space="preserve"> </w:t>
      </w:r>
      <w:r w:rsidR="00AB1478">
        <w:rPr>
          <w:b w:val="0"/>
        </w:rPr>
        <w:t>peak load</w:t>
      </w:r>
      <w:r w:rsidR="00C81127">
        <w:rPr>
          <w:b w:val="0"/>
        </w:rPr>
        <w:t>,</w:t>
      </w:r>
      <w:r w:rsidR="00AB1478">
        <w:rPr>
          <w:b w:val="0"/>
        </w:rPr>
        <w:t xml:space="preserve"> and </w:t>
      </w:r>
      <w:r w:rsidR="00C81127">
        <w:rPr>
          <w:b w:val="0"/>
        </w:rPr>
        <w:t>annual</w:t>
      </w:r>
      <w:r w:rsidR="00C44D91">
        <w:rPr>
          <w:b w:val="0"/>
        </w:rPr>
        <w:t xml:space="preserve"> </w:t>
      </w:r>
      <w:r w:rsidR="00C34CC6">
        <w:rPr>
          <w:b w:val="0"/>
        </w:rPr>
        <w:t xml:space="preserve">system </w:t>
      </w:r>
      <w:r w:rsidR="00C44D91">
        <w:rPr>
          <w:b w:val="0"/>
        </w:rPr>
        <w:t xml:space="preserve">winter peak </w:t>
      </w:r>
      <w:r w:rsidR="002F2F69">
        <w:rPr>
          <w:b w:val="0"/>
        </w:rPr>
        <w:t>load</w:t>
      </w:r>
      <w:r w:rsidR="006A2219">
        <w:rPr>
          <w:b w:val="0"/>
        </w:rPr>
        <w:t>.</w:t>
      </w:r>
    </w:p>
    <w:p w14:paraId="670C7E8D" w14:textId="733D2CB4" w:rsidR="00134C1B" w:rsidRDefault="00C933C7">
      <w:pPr>
        <w:spacing w:after="200" w:line="276" w:lineRule="auto"/>
        <w:jc w:val="left"/>
      </w:pPr>
      <w:r>
        <w:t xml:space="preserve">Attachment </w:t>
      </w:r>
      <w:r w:rsidR="00330771">
        <w:t>8</w:t>
      </w:r>
      <w:r>
        <w:t>.2-</w:t>
      </w:r>
      <w:r w:rsidR="00620B7A">
        <w:t>1</w:t>
      </w:r>
      <w:r>
        <w:t>:</w:t>
      </w:r>
      <w:r w:rsidR="00616255">
        <w:t xml:space="preserve"> </w:t>
      </w:r>
      <w:r>
        <w:t>Annual</w:t>
      </w:r>
      <w:r w:rsidR="00E5131F">
        <w:t xml:space="preserve"> Energy, </w:t>
      </w:r>
      <w:r w:rsidR="006F65DD">
        <w:t>Summer</w:t>
      </w:r>
      <w:r>
        <w:t xml:space="preserve"> Peak </w:t>
      </w:r>
      <w:r w:rsidR="00E5131F">
        <w:t xml:space="preserve">and Winter Peak </w:t>
      </w:r>
      <w:r>
        <w:t>Scenario Summary</w:t>
      </w:r>
      <w:r w:rsidR="00DD2B4D">
        <w:t xml:space="preserve"> </w:t>
      </w:r>
    </w:p>
    <w:p w14:paraId="4FA08693" w14:textId="596F7C6E" w:rsidR="005F18B8" w:rsidRDefault="00742173" w:rsidP="00134C1B">
      <w:pPr>
        <w:spacing w:after="200" w:line="276" w:lineRule="auto"/>
      </w:pPr>
      <w:r w:rsidRPr="00742173">
        <w:rPr>
          <w:noProof/>
        </w:rPr>
        <w:drawing>
          <wp:inline distT="0" distB="0" distL="0" distR="0" wp14:anchorId="6A9DF78D" wp14:editId="04C355FC">
            <wp:extent cx="5829300" cy="3891280"/>
            <wp:effectExtent l="0" t="0" r="0" b="0"/>
            <wp:docPr id="1573023809"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829300" cy="3891280"/>
                    </a:xfrm>
                    <a:prstGeom prst="rect">
                      <a:avLst/>
                    </a:prstGeom>
                    <a:noFill/>
                    <a:ln>
                      <a:noFill/>
                    </a:ln>
                  </pic:spPr>
                </pic:pic>
              </a:graphicData>
            </a:graphic>
          </wp:inline>
        </w:drawing>
      </w:r>
      <w:r w:rsidR="00880481" w:rsidRPr="00880481" w:rsidDel="00880481">
        <w:rPr>
          <w:noProof/>
        </w:rPr>
        <w:t xml:space="preserve"> </w:t>
      </w:r>
    </w:p>
    <w:p w14:paraId="0D9359F4" w14:textId="77777777" w:rsidR="00977320" w:rsidRDefault="00977320">
      <w:pPr>
        <w:spacing w:after="200" w:line="276" w:lineRule="auto"/>
        <w:jc w:val="left"/>
        <w:rPr>
          <w:rFonts w:eastAsiaTheme="majorEastAsia"/>
          <w:bCs/>
          <w:sz w:val="28"/>
          <w:szCs w:val="28"/>
        </w:rPr>
      </w:pPr>
      <w:bookmarkStart w:id="466" w:name="_Toc347120450"/>
    </w:p>
    <w:p w14:paraId="17354C4B" w14:textId="77777777" w:rsidR="00C84B7D" w:rsidRDefault="00B813B5">
      <w:pPr>
        <w:spacing w:after="200" w:line="276" w:lineRule="auto"/>
        <w:jc w:val="left"/>
        <w:rPr>
          <w:b w:val="0"/>
        </w:rPr>
        <w:sectPr w:rsidR="00C84B7D" w:rsidSect="00685E92">
          <w:footerReference w:type="default" r:id="rId111"/>
          <w:type w:val="continuous"/>
          <w:pgSz w:w="12240" w:h="15840"/>
          <w:pgMar w:top="1440" w:right="1800" w:bottom="1440" w:left="1260" w:header="720" w:footer="720" w:gutter="0"/>
          <w:cols w:space="720"/>
        </w:sectPr>
      </w:pPr>
      <w:r>
        <w:rPr>
          <w:b w:val="0"/>
        </w:rPr>
        <w:br w:type="page"/>
      </w:r>
    </w:p>
    <w:p w14:paraId="2E3CE3C1" w14:textId="41D8F4FE" w:rsidR="0025745A" w:rsidRPr="00AE33CD" w:rsidRDefault="00BA00DE" w:rsidP="00AE33CD">
      <w:pPr>
        <w:pStyle w:val="Heading1"/>
        <w:jc w:val="left"/>
        <w:rPr>
          <w:rFonts w:ascii="Arial" w:hAnsi="Arial" w:cs="Arial"/>
          <w:b/>
          <w:color w:val="auto"/>
        </w:rPr>
      </w:pPr>
      <w:bookmarkStart w:id="467" w:name="_Toc188257173"/>
      <w:bookmarkStart w:id="468" w:name="_Toc188257388"/>
      <w:bookmarkStart w:id="469" w:name="_Toc188257612"/>
      <w:bookmarkStart w:id="470" w:name="_Toc189162621"/>
      <w:r>
        <w:rPr>
          <w:rFonts w:ascii="Arial" w:hAnsi="Arial" w:cs="Arial"/>
          <w:b/>
          <w:color w:val="auto"/>
        </w:rPr>
        <w:lastRenderedPageBreak/>
        <w:t>9</w:t>
      </w:r>
      <w:r w:rsidR="0025745A" w:rsidRPr="00AE33CD">
        <w:rPr>
          <w:rFonts w:ascii="Arial" w:hAnsi="Arial" w:cs="Arial"/>
          <w:b/>
          <w:color w:val="auto"/>
        </w:rPr>
        <w:t>.0</w:t>
      </w:r>
      <w:r w:rsidR="0025745A" w:rsidRPr="00AE33CD">
        <w:rPr>
          <w:rFonts w:ascii="Arial" w:hAnsi="Arial" w:cs="Arial"/>
          <w:b/>
          <w:color w:val="auto"/>
        </w:rPr>
        <w:tab/>
        <w:t>FORECAST ASSUMPTIONS OVERVIEW</w:t>
      </w:r>
      <w:bookmarkEnd w:id="466"/>
      <w:bookmarkEnd w:id="467"/>
      <w:bookmarkEnd w:id="468"/>
      <w:bookmarkEnd w:id="469"/>
      <w:bookmarkEnd w:id="470"/>
    </w:p>
    <w:p w14:paraId="70FA23ED" w14:textId="77777777" w:rsidR="00AB4E62" w:rsidRDefault="00AB4E62" w:rsidP="0025745A">
      <w:pPr>
        <w:pStyle w:val="BodyText"/>
      </w:pPr>
    </w:p>
    <w:p w14:paraId="7F776898" w14:textId="202B8E77" w:rsidR="00011D97" w:rsidRPr="00AB4E62" w:rsidRDefault="00011D97" w:rsidP="009D72E4">
      <w:pPr>
        <w:pStyle w:val="BodyText"/>
        <w:spacing w:after="0" w:line="360" w:lineRule="auto"/>
        <w:jc w:val="both"/>
        <w:rPr>
          <w:b w:val="0"/>
        </w:rPr>
      </w:pPr>
      <w:r w:rsidRPr="00AB4E62">
        <w:rPr>
          <w:b w:val="0"/>
        </w:rPr>
        <w:t xml:space="preserve">Budget </w:t>
      </w:r>
      <w:r w:rsidR="00D25174" w:rsidRPr="00AB4E62">
        <w:rPr>
          <w:b w:val="0"/>
        </w:rPr>
        <w:t>20</w:t>
      </w:r>
      <w:r w:rsidR="00D25174">
        <w:rPr>
          <w:b w:val="0"/>
        </w:rPr>
        <w:t>25</w:t>
      </w:r>
      <w:r w:rsidR="00D25174" w:rsidRPr="00AB4E62">
        <w:rPr>
          <w:b w:val="0"/>
        </w:rPr>
        <w:t xml:space="preserve"> </w:t>
      </w:r>
      <w:r w:rsidRPr="00AB4E62">
        <w:rPr>
          <w:b w:val="0"/>
        </w:rPr>
        <w:t xml:space="preserve">assumptions were jointly developed by </w:t>
      </w:r>
      <w:r w:rsidR="009C6EFA">
        <w:rPr>
          <w:b w:val="0"/>
        </w:rPr>
        <w:t xml:space="preserve">SCS </w:t>
      </w:r>
      <w:r w:rsidR="009C6EFA" w:rsidRPr="00AB4E62">
        <w:rPr>
          <w:b w:val="0"/>
        </w:rPr>
        <w:t>Forecasting and System Planning departments</w:t>
      </w:r>
      <w:r w:rsidR="009C6EFA">
        <w:rPr>
          <w:b w:val="0"/>
        </w:rPr>
        <w:t xml:space="preserve">, along with </w:t>
      </w:r>
      <w:r w:rsidRPr="00AB4E62">
        <w:rPr>
          <w:b w:val="0"/>
        </w:rPr>
        <w:t xml:space="preserve">Georgia Power’s </w:t>
      </w:r>
      <w:r w:rsidR="00DB7541">
        <w:rPr>
          <w:b w:val="0"/>
        </w:rPr>
        <w:t xml:space="preserve">Resource Planning and </w:t>
      </w:r>
      <w:r w:rsidRPr="00AB4E62">
        <w:rPr>
          <w:b w:val="0"/>
        </w:rPr>
        <w:t>Financial Planning and Analysis departments. Major assumptions include the economic outlook for the U</w:t>
      </w:r>
      <w:r w:rsidR="009C6EFA">
        <w:rPr>
          <w:b w:val="0"/>
        </w:rPr>
        <w:t>.</w:t>
      </w:r>
      <w:r w:rsidRPr="00AB4E62">
        <w:rPr>
          <w:b w:val="0"/>
        </w:rPr>
        <w:t>S</w:t>
      </w:r>
      <w:r w:rsidR="009C6EFA">
        <w:rPr>
          <w:b w:val="0"/>
        </w:rPr>
        <w:t>.</w:t>
      </w:r>
      <w:r w:rsidRPr="00AB4E62">
        <w:rPr>
          <w:b w:val="0"/>
        </w:rPr>
        <w:t xml:space="preserve"> and Georgia, as well as the long-term outlook for fuel prices </w:t>
      </w:r>
      <w:r w:rsidR="008B5DA1">
        <w:rPr>
          <w:b w:val="0"/>
        </w:rPr>
        <w:t xml:space="preserve">from </w:t>
      </w:r>
      <w:r w:rsidR="00C4753E">
        <w:rPr>
          <w:b w:val="0"/>
        </w:rPr>
        <w:t xml:space="preserve">the </w:t>
      </w:r>
      <w:r w:rsidR="005D7712">
        <w:rPr>
          <w:b w:val="0"/>
        </w:rPr>
        <w:t>most recent</w:t>
      </w:r>
      <w:r w:rsidR="00C4753E">
        <w:rPr>
          <w:b w:val="0"/>
        </w:rPr>
        <w:t xml:space="preserve"> </w:t>
      </w:r>
      <w:r w:rsidR="007F734B">
        <w:rPr>
          <w:b w:val="0"/>
        </w:rPr>
        <w:t>AEO</w:t>
      </w:r>
      <w:r w:rsidR="00D10B9B">
        <w:rPr>
          <w:b w:val="0"/>
        </w:rPr>
        <w:t xml:space="preserve"> from the EIA</w:t>
      </w:r>
      <w:r w:rsidR="008B5DA1">
        <w:rPr>
          <w:b w:val="0"/>
        </w:rPr>
        <w:t xml:space="preserve"> </w:t>
      </w:r>
      <w:r w:rsidRPr="00AB4E62">
        <w:rPr>
          <w:b w:val="0"/>
        </w:rPr>
        <w:t>and market profiles for class end uses.</w:t>
      </w:r>
    </w:p>
    <w:p w14:paraId="22F47DBD" w14:textId="77777777" w:rsidR="00011D97" w:rsidRPr="00AB4E62" w:rsidRDefault="00011D97" w:rsidP="009D72E4">
      <w:pPr>
        <w:pStyle w:val="BodyText"/>
        <w:spacing w:after="0" w:line="360" w:lineRule="auto"/>
        <w:jc w:val="both"/>
        <w:rPr>
          <w:b w:val="0"/>
        </w:rPr>
      </w:pPr>
    </w:p>
    <w:p w14:paraId="18889281" w14:textId="5D13C11A" w:rsidR="00011D97" w:rsidRPr="00803BF1" w:rsidRDefault="009C6EFA" w:rsidP="009D72E4">
      <w:pPr>
        <w:pStyle w:val="BodyText"/>
        <w:spacing w:after="0" w:line="360" w:lineRule="auto"/>
        <w:jc w:val="both"/>
        <w:rPr>
          <w:b w:val="0"/>
        </w:rPr>
      </w:pPr>
      <w:r>
        <w:rPr>
          <w:b w:val="0"/>
        </w:rPr>
        <w:t>S&amp;P Global</w:t>
      </w:r>
      <w:r w:rsidR="00011D97" w:rsidRPr="00803BF1">
        <w:rPr>
          <w:b w:val="0"/>
        </w:rPr>
        <w:t xml:space="preserve"> provides comprehensive and timely research o</w:t>
      </w:r>
      <w:r w:rsidR="00DB640D">
        <w:rPr>
          <w:b w:val="0"/>
        </w:rPr>
        <w:t>n</w:t>
      </w:r>
      <w:r w:rsidR="00011D97" w:rsidRPr="00803BF1">
        <w:rPr>
          <w:b w:val="0"/>
        </w:rPr>
        <w:t xml:space="preserve"> all the components that drive the economy. </w:t>
      </w:r>
      <w:r w:rsidR="00D71CB0">
        <w:rPr>
          <w:b w:val="0"/>
        </w:rPr>
        <w:t>S&amp;P Global</w:t>
      </w:r>
      <w:r w:rsidR="00011D97">
        <w:rPr>
          <w:b w:val="0"/>
        </w:rPr>
        <w:t xml:space="preserve">’s </w:t>
      </w:r>
      <w:r w:rsidR="00011D97" w:rsidRPr="00803BF1">
        <w:rPr>
          <w:b w:val="0"/>
        </w:rPr>
        <w:t xml:space="preserve">research examines </w:t>
      </w:r>
      <w:r w:rsidR="0035482D">
        <w:rPr>
          <w:b w:val="0"/>
        </w:rPr>
        <w:t xml:space="preserve">the factors that drive economic growth at the </w:t>
      </w:r>
      <w:r w:rsidR="00F4611E">
        <w:rPr>
          <w:b w:val="0"/>
        </w:rPr>
        <w:t>national</w:t>
      </w:r>
      <w:r w:rsidR="0035482D">
        <w:rPr>
          <w:b w:val="0"/>
        </w:rPr>
        <w:t>, regional, state</w:t>
      </w:r>
      <w:r w:rsidR="007F734B">
        <w:rPr>
          <w:b w:val="0"/>
        </w:rPr>
        <w:t>,</w:t>
      </w:r>
      <w:r w:rsidR="0035482D">
        <w:rPr>
          <w:b w:val="0"/>
        </w:rPr>
        <w:t xml:space="preserve"> and metropolitan area</w:t>
      </w:r>
      <w:r w:rsidR="00D71CB0">
        <w:rPr>
          <w:b w:val="0"/>
        </w:rPr>
        <w:t xml:space="preserve"> level</w:t>
      </w:r>
      <w:r w:rsidR="0035482D">
        <w:rPr>
          <w:b w:val="0"/>
        </w:rPr>
        <w:t>s</w:t>
      </w:r>
      <w:r w:rsidR="00D71CB0">
        <w:rPr>
          <w:b w:val="0"/>
        </w:rPr>
        <w:t>.</w:t>
      </w:r>
      <w:r w:rsidR="00011D97" w:rsidRPr="00803BF1">
        <w:rPr>
          <w:b w:val="0"/>
        </w:rPr>
        <w:t xml:space="preserve"> </w:t>
      </w:r>
      <w:r w:rsidR="001D027C">
        <w:rPr>
          <w:b w:val="0"/>
        </w:rPr>
        <w:t>Their research</w:t>
      </w:r>
      <w:r w:rsidR="00011D97" w:rsidRPr="00803BF1">
        <w:rPr>
          <w:b w:val="0"/>
        </w:rPr>
        <w:t xml:space="preserve"> covers specialized topics such as housing</w:t>
      </w:r>
      <w:r w:rsidR="00E60C94">
        <w:rPr>
          <w:b w:val="0"/>
        </w:rPr>
        <w:t xml:space="preserve"> markets</w:t>
      </w:r>
      <w:r w:rsidR="00011D97" w:rsidRPr="00803BF1">
        <w:rPr>
          <w:b w:val="0"/>
        </w:rPr>
        <w:t xml:space="preserve">, </w:t>
      </w:r>
      <w:r w:rsidR="00E60C94">
        <w:rPr>
          <w:b w:val="0"/>
        </w:rPr>
        <w:t xml:space="preserve">labor markets, demographics, </w:t>
      </w:r>
      <w:r w:rsidR="00011D97" w:rsidRPr="00803BF1">
        <w:rPr>
          <w:b w:val="0"/>
        </w:rPr>
        <w:t>consumer</w:t>
      </w:r>
      <w:r w:rsidR="00E60C94">
        <w:rPr>
          <w:b w:val="0"/>
        </w:rPr>
        <w:t xml:space="preserve"> behavior</w:t>
      </w:r>
      <w:r w:rsidR="0035482D">
        <w:rPr>
          <w:b w:val="0"/>
        </w:rPr>
        <w:t>, fiscal and monetary policy</w:t>
      </w:r>
      <w:r w:rsidR="00E60C94">
        <w:rPr>
          <w:b w:val="0"/>
        </w:rPr>
        <w:t xml:space="preserve"> </w:t>
      </w:r>
      <w:r w:rsidR="00011D97" w:rsidRPr="00803BF1">
        <w:rPr>
          <w:b w:val="0"/>
        </w:rPr>
        <w:t xml:space="preserve">and other trends </w:t>
      </w:r>
      <w:r w:rsidR="001D027C">
        <w:rPr>
          <w:b w:val="0"/>
        </w:rPr>
        <w:t xml:space="preserve">that are </w:t>
      </w:r>
      <w:r w:rsidR="00011D97" w:rsidRPr="00803BF1">
        <w:rPr>
          <w:b w:val="0"/>
        </w:rPr>
        <w:t xml:space="preserve">highly relevant to business planning. Clients from a broad range of industries depend on </w:t>
      </w:r>
      <w:r w:rsidR="001C06DD">
        <w:rPr>
          <w:b w:val="0"/>
        </w:rPr>
        <w:t>S&amp;P</w:t>
      </w:r>
      <w:r w:rsidR="00C7749A">
        <w:rPr>
          <w:b w:val="0"/>
        </w:rPr>
        <w:t xml:space="preserve"> Global</w:t>
      </w:r>
      <w:r w:rsidR="00011D97">
        <w:rPr>
          <w:b w:val="0"/>
        </w:rPr>
        <w:t>’s</w:t>
      </w:r>
      <w:r w:rsidR="00011D97" w:rsidRPr="00803BF1">
        <w:rPr>
          <w:b w:val="0"/>
        </w:rPr>
        <w:t xml:space="preserve"> research and forecasts to better manage the risks and opportunities stemming from</w:t>
      </w:r>
      <w:r w:rsidR="00011D97">
        <w:rPr>
          <w:b w:val="0"/>
        </w:rPr>
        <w:t xml:space="preserve"> a</w:t>
      </w:r>
      <w:r w:rsidR="00011D97" w:rsidRPr="00803BF1">
        <w:rPr>
          <w:b w:val="0"/>
        </w:rPr>
        <w:t xml:space="preserve"> rapidly changing economy</w:t>
      </w:r>
      <w:r w:rsidR="00011D97">
        <w:rPr>
          <w:b w:val="0"/>
        </w:rPr>
        <w:t>,</w:t>
      </w:r>
      <w:r w:rsidR="00011D97" w:rsidRPr="00803BF1">
        <w:rPr>
          <w:b w:val="0"/>
        </w:rPr>
        <w:t xml:space="preserve"> </w:t>
      </w:r>
      <w:r w:rsidR="00011D97">
        <w:rPr>
          <w:b w:val="0"/>
        </w:rPr>
        <w:t>as well as</w:t>
      </w:r>
      <w:r w:rsidR="00011D97" w:rsidRPr="00803BF1">
        <w:rPr>
          <w:b w:val="0"/>
        </w:rPr>
        <w:t xml:space="preserve"> for strategic planning, demand assessment, consumer lending and general investment research. </w:t>
      </w:r>
      <w:r w:rsidR="00F45027">
        <w:rPr>
          <w:b w:val="0"/>
        </w:rPr>
        <w:t>S&amp;P Global</w:t>
      </w:r>
      <w:r w:rsidR="00B910AC" w:rsidRPr="00AB4E62">
        <w:rPr>
          <w:b w:val="0"/>
        </w:rPr>
        <w:t xml:space="preserve"> pro</w:t>
      </w:r>
      <w:r w:rsidR="00B910AC">
        <w:rPr>
          <w:b w:val="0"/>
        </w:rPr>
        <w:t>duces monthly updates to its U</w:t>
      </w:r>
      <w:r w:rsidR="000247BA">
        <w:rPr>
          <w:b w:val="0"/>
        </w:rPr>
        <w:t>.</w:t>
      </w:r>
      <w:r w:rsidR="00B910AC">
        <w:rPr>
          <w:b w:val="0"/>
        </w:rPr>
        <w:t>S</w:t>
      </w:r>
      <w:r w:rsidR="000247BA">
        <w:rPr>
          <w:b w:val="0"/>
        </w:rPr>
        <w:t>.</w:t>
      </w:r>
      <w:r w:rsidR="00B910AC">
        <w:rPr>
          <w:b w:val="0"/>
        </w:rPr>
        <w:t xml:space="preserve"> macroeconomic and state level forecasts. Georgia Power used the </w:t>
      </w:r>
      <w:r w:rsidR="000247BA">
        <w:rPr>
          <w:b w:val="0"/>
        </w:rPr>
        <w:t xml:space="preserve">April 2024 </w:t>
      </w:r>
      <w:r w:rsidR="00B910AC">
        <w:rPr>
          <w:b w:val="0"/>
        </w:rPr>
        <w:t xml:space="preserve">vintage of the </w:t>
      </w:r>
      <w:r w:rsidR="00FF08E8">
        <w:rPr>
          <w:b w:val="0"/>
        </w:rPr>
        <w:t xml:space="preserve">S&amp;P Global </w:t>
      </w:r>
      <w:r w:rsidR="00B910AC">
        <w:rPr>
          <w:b w:val="0"/>
        </w:rPr>
        <w:t>forecast</w:t>
      </w:r>
      <w:r w:rsidR="00734EBC">
        <w:rPr>
          <w:b w:val="0"/>
        </w:rPr>
        <w:t xml:space="preserve"> for Budget </w:t>
      </w:r>
      <w:r w:rsidR="000247BA">
        <w:rPr>
          <w:b w:val="0"/>
        </w:rPr>
        <w:t>2025</w:t>
      </w:r>
      <w:r w:rsidR="00B910AC">
        <w:rPr>
          <w:b w:val="0"/>
        </w:rPr>
        <w:t>.</w:t>
      </w:r>
    </w:p>
    <w:p w14:paraId="4A692658" w14:textId="77777777" w:rsidR="00011D97" w:rsidRPr="00AB4E62" w:rsidRDefault="00011D97" w:rsidP="009D72E4">
      <w:pPr>
        <w:pStyle w:val="BodyText"/>
        <w:spacing w:after="0" w:line="360" w:lineRule="auto"/>
        <w:jc w:val="both"/>
        <w:rPr>
          <w:b w:val="0"/>
        </w:rPr>
      </w:pPr>
    </w:p>
    <w:p w14:paraId="3EF0E2BF" w14:textId="5A150B9C" w:rsidR="00011D97" w:rsidRPr="00AB4E62" w:rsidRDefault="002631D3" w:rsidP="009D72E4">
      <w:pPr>
        <w:pStyle w:val="BodyText"/>
        <w:spacing w:after="0" w:line="360" w:lineRule="auto"/>
        <w:jc w:val="both"/>
        <w:rPr>
          <w:b w:val="0"/>
        </w:rPr>
      </w:pPr>
      <w:bookmarkStart w:id="471" w:name="_Hlk531796210"/>
      <w:r>
        <w:rPr>
          <w:b w:val="0"/>
        </w:rPr>
        <w:t>S&amp;P</w:t>
      </w:r>
      <w:r w:rsidR="00AC35CF">
        <w:rPr>
          <w:b w:val="0"/>
        </w:rPr>
        <w:t xml:space="preserve"> Global</w:t>
      </w:r>
      <w:r w:rsidR="00011D97">
        <w:rPr>
          <w:b w:val="0"/>
        </w:rPr>
        <w:t>’s</w:t>
      </w:r>
      <w:r w:rsidR="00011D97" w:rsidRPr="00C304FC">
        <w:rPr>
          <w:b w:val="0"/>
        </w:rPr>
        <w:t xml:space="preserve"> national </w:t>
      </w:r>
      <w:r w:rsidR="00011D97">
        <w:rPr>
          <w:b w:val="0"/>
        </w:rPr>
        <w:t>model is a large-scale structural econometric model that is grounded in mainstream economic theory and estimated using modern econometric techniques. The model uses an income-expenditure structure in which short-term fluctuations in GDP are caused primarily by changes in aggregate demand. A distinguishing characteristic is that the steady-state properties of key equations are derived from neoclassical theory, imparting to the model a well-defined growth path in the long run. This emphasis on theory leads to an internally consistent structure that renders the model well-suited for short-run forecasting, long-term policy analysis</w:t>
      </w:r>
      <w:r w:rsidR="00957AF4">
        <w:rPr>
          <w:b w:val="0"/>
        </w:rPr>
        <w:t>,</w:t>
      </w:r>
      <w:r w:rsidR="00011D97">
        <w:rPr>
          <w:b w:val="0"/>
        </w:rPr>
        <w:t xml:space="preserve"> and the development of internally consistent macroeconomic scenarios. With respect to regional modeling, each area (e.g.</w:t>
      </w:r>
      <w:r w:rsidR="009E7279">
        <w:rPr>
          <w:b w:val="0"/>
        </w:rPr>
        <w:t>,</w:t>
      </w:r>
      <w:r w:rsidR="00011D97">
        <w:rPr>
          <w:b w:val="0"/>
        </w:rPr>
        <w:t xml:space="preserve"> state or metro area) is modeled individually and then linked to a national system. Instead of forecasting regional growth as simple proportions of U</w:t>
      </w:r>
      <w:r w:rsidR="00957AF4">
        <w:rPr>
          <w:b w:val="0"/>
        </w:rPr>
        <w:t>.</w:t>
      </w:r>
      <w:r w:rsidR="00011D97">
        <w:rPr>
          <w:b w:val="0"/>
        </w:rPr>
        <w:t>S</w:t>
      </w:r>
      <w:r w:rsidR="00957AF4">
        <w:rPr>
          <w:b w:val="0"/>
        </w:rPr>
        <w:t>.</w:t>
      </w:r>
      <w:r w:rsidR="00011D97">
        <w:rPr>
          <w:b w:val="0"/>
        </w:rPr>
        <w:t xml:space="preserve"> totals, the models focus on each area’s internal growth dynamics and differential business cycle response. </w:t>
      </w:r>
      <w:bookmarkEnd w:id="471"/>
    </w:p>
    <w:p w14:paraId="3A379EFD" w14:textId="77777777" w:rsidR="00011D97" w:rsidRPr="00AB4E62" w:rsidRDefault="00011D97" w:rsidP="009D72E4">
      <w:pPr>
        <w:pStyle w:val="BodyText"/>
        <w:spacing w:after="0" w:line="360" w:lineRule="auto"/>
        <w:jc w:val="both"/>
        <w:rPr>
          <w:b w:val="0"/>
        </w:rPr>
      </w:pPr>
    </w:p>
    <w:p w14:paraId="02DB3571" w14:textId="22425E19" w:rsidR="00011D97" w:rsidRPr="00AB4E62" w:rsidRDefault="00011D97" w:rsidP="009D72E4">
      <w:pPr>
        <w:pStyle w:val="BodyText"/>
        <w:spacing w:after="0" w:line="360" w:lineRule="auto"/>
        <w:jc w:val="both"/>
        <w:rPr>
          <w:b w:val="0"/>
        </w:rPr>
      </w:pPr>
      <w:r w:rsidRPr="00AB4E62">
        <w:rPr>
          <w:b w:val="0"/>
        </w:rPr>
        <w:t>As a part of the forecasting process, prices for electricity and natural gas are reviewed and analyzed. Electricity price forecasts were based on results of internal financial planning models</w:t>
      </w:r>
      <w:r w:rsidR="00F05BF1">
        <w:rPr>
          <w:b w:val="0"/>
        </w:rPr>
        <w:t xml:space="preserve"> and expected inflation rates</w:t>
      </w:r>
      <w:r w:rsidRPr="00AB4E62">
        <w:rPr>
          <w:b w:val="0"/>
        </w:rPr>
        <w:t xml:space="preserve">. Projections of natural gas prices were developed by SCS </w:t>
      </w:r>
      <w:r>
        <w:rPr>
          <w:b w:val="0"/>
        </w:rPr>
        <w:t xml:space="preserve">Forecasting using the commodity forecasts from the SCS Fuel Services and SCS Resource Planning groups. </w:t>
      </w:r>
      <w:r w:rsidRPr="00AB4E62">
        <w:rPr>
          <w:b w:val="0"/>
        </w:rPr>
        <w:t>Georgia Power’s long-term forecasting models incorporate these retail fuel prices when modeling the fuel choices and efficiency decisions of consumers and decision-makers.</w:t>
      </w:r>
    </w:p>
    <w:p w14:paraId="2E9DE840" w14:textId="77777777" w:rsidR="00011D97" w:rsidRPr="00AB4E62" w:rsidRDefault="00011D97" w:rsidP="009D72E4">
      <w:pPr>
        <w:pStyle w:val="BodyText"/>
        <w:spacing w:after="0" w:line="360" w:lineRule="auto"/>
        <w:jc w:val="both"/>
        <w:rPr>
          <w:b w:val="0"/>
        </w:rPr>
      </w:pPr>
    </w:p>
    <w:p w14:paraId="7AE39B91" w14:textId="502C586A" w:rsidR="00011D97" w:rsidRPr="00AB4E62" w:rsidRDefault="00011D97" w:rsidP="009D72E4">
      <w:pPr>
        <w:pStyle w:val="BodyText"/>
        <w:spacing w:after="0" w:line="360" w:lineRule="auto"/>
        <w:jc w:val="both"/>
        <w:rPr>
          <w:b w:val="0"/>
        </w:rPr>
      </w:pPr>
      <w:r w:rsidRPr="00AB4E62">
        <w:rPr>
          <w:b w:val="0"/>
        </w:rPr>
        <w:lastRenderedPageBreak/>
        <w:t>Other factors</w:t>
      </w:r>
      <w:r>
        <w:rPr>
          <w:b w:val="0"/>
        </w:rPr>
        <w:t>,</w:t>
      </w:r>
      <w:r w:rsidRPr="00AB4E62">
        <w:rPr>
          <w:b w:val="0"/>
        </w:rPr>
        <w:t xml:space="preserve"> such as the impacts of appliance efficiency standards</w:t>
      </w:r>
      <w:r>
        <w:rPr>
          <w:b w:val="0"/>
        </w:rPr>
        <w:t>,</w:t>
      </w:r>
      <w:r w:rsidRPr="00AB4E62">
        <w:rPr>
          <w:b w:val="0"/>
        </w:rPr>
        <w:t xml:space="preserve"> were also considered in the long-term forecast. The end-use models for the long-term energy forecast incorporate minimum standards for new appliances as well as replacement options.</w:t>
      </w:r>
      <w:r w:rsidR="00616255">
        <w:rPr>
          <w:b w:val="0"/>
        </w:rPr>
        <w:t xml:space="preserve"> </w:t>
      </w:r>
    </w:p>
    <w:p w14:paraId="08D402FD" w14:textId="77777777" w:rsidR="00011D97" w:rsidRPr="00AB4E62" w:rsidRDefault="00011D97" w:rsidP="009D72E4">
      <w:pPr>
        <w:pStyle w:val="BodyText"/>
        <w:spacing w:after="0" w:line="360" w:lineRule="auto"/>
        <w:jc w:val="both"/>
        <w:rPr>
          <w:b w:val="0"/>
        </w:rPr>
      </w:pPr>
    </w:p>
    <w:p w14:paraId="48835A62" w14:textId="0CAC4D4B" w:rsidR="00011D97" w:rsidRPr="00AB4E62" w:rsidRDefault="00011D97" w:rsidP="009D72E4">
      <w:pPr>
        <w:pStyle w:val="BodyText"/>
        <w:spacing w:after="0" w:line="360" w:lineRule="auto"/>
        <w:jc w:val="both"/>
        <w:rPr>
          <w:b w:val="0"/>
        </w:rPr>
      </w:pPr>
      <w:r>
        <w:rPr>
          <w:b w:val="0"/>
        </w:rPr>
        <w:t>T</w:t>
      </w:r>
      <w:r w:rsidRPr="00AB4E62">
        <w:rPr>
          <w:b w:val="0"/>
        </w:rPr>
        <w:t xml:space="preserve">he short-term and long-term energy models </w:t>
      </w:r>
      <w:r>
        <w:rPr>
          <w:b w:val="0"/>
        </w:rPr>
        <w:t>use</w:t>
      </w:r>
      <w:r w:rsidRPr="00AB4E62">
        <w:rPr>
          <w:b w:val="0"/>
        </w:rPr>
        <w:t xml:space="preserve"> a </w:t>
      </w:r>
      <w:r w:rsidR="00461D1F">
        <w:rPr>
          <w:b w:val="0"/>
        </w:rPr>
        <w:t>44</w:t>
      </w:r>
      <w:r w:rsidRPr="00AB4E62">
        <w:rPr>
          <w:b w:val="0"/>
        </w:rPr>
        <w:t xml:space="preserve">-year average </w:t>
      </w:r>
      <w:r w:rsidR="00884C0B">
        <w:rPr>
          <w:b w:val="0"/>
        </w:rPr>
        <w:t xml:space="preserve">(1980-2023) </w:t>
      </w:r>
      <w:r w:rsidRPr="00AB4E62">
        <w:rPr>
          <w:b w:val="0"/>
        </w:rPr>
        <w:t xml:space="preserve">of </w:t>
      </w:r>
      <w:r>
        <w:rPr>
          <w:b w:val="0"/>
        </w:rPr>
        <w:t>CDH and HDH to define “normal” weather.</w:t>
      </w:r>
    </w:p>
    <w:p w14:paraId="722F3D76" w14:textId="77777777" w:rsidR="00011D97" w:rsidRPr="00AB4E62" w:rsidRDefault="00011D97" w:rsidP="009D72E4">
      <w:pPr>
        <w:pStyle w:val="BodyText"/>
        <w:spacing w:after="0" w:line="360" w:lineRule="auto"/>
        <w:jc w:val="both"/>
        <w:rPr>
          <w:b w:val="0"/>
        </w:rPr>
      </w:pPr>
    </w:p>
    <w:p w14:paraId="548A6C9A" w14:textId="3AE7994C" w:rsidR="0025745A" w:rsidRPr="0025745A" w:rsidRDefault="00BA00DE" w:rsidP="0025745A">
      <w:pPr>
        <w:pStyle w:val="Heading1"/>
        <w:jc w:val="left"/>
        <w:rPr>
          <w:rFonts w:ascii="Arial" w:hAnsi="Arial" w:cs="Arial"/>
          <w:b/>
          <w:color w:val="auto"/>
        </w:rPr>
      </w:pPr>
      <w:bookmarkStart w:id="472" w:name="_Toc347120451"/>
      <w:bookmarkStart w:id="473" w:name="_Toc188257174"/>
      <w:bookmarkStart w:id="474" w:name="_Toc188257389"/>
      <w:bookmarkStart w:id="475" w:name="_Toc188257613"/>
      <w:bookmarkStart w:id="476" w:name="_Toc189162622"/>
      <w:r>
        <w:rPr>
          <w:rFonts w:ascii="Arial" w:hAnsi="Arial" w:cs="Arial"/>
          <w:b/>
          <w:color w:val="auto"/>
        </w:rPr>
        <w:t>9</w:t>
      </w:r>
      <w:r w:rsidR="0025745A" w:rsidRPr="0025745A">
        <w:rPr>
          <w:rFonts w:ascii="Arial" w:hAnsi="Arial" w:cs="Arial"/>
          <w:b/>
          <w:color w:val="auto"/>
        </w:rPr>
        <w:t>.1</w:t>
      </w:r>
      <w:r w:rsidR="0025745A" w:rsidRPr="0025745A">
        <w:rPr>
          <w:rFonts w:ascii="Arial" w:hAnsi="Arial" w:cs="Arial"/>
          <w:b/>
          <w:color w:val="auto"/>
        </w:rPr>
        <w:tab/>
        <w:t>SHORT-TERM ENERGY MODEL ECONOMIC ASSUMPTIONS</w:t>
      </w:r>
      <w:bookmarkEnd w:id="472"/>
      <w:bookmarkEnd w:id="473"/>
      <w:bookmarkEnd w:id="474"/>
      <w:bookmarkEnd w:id="475"/>
      <w:bookmarkEnd w:id="476"/>
    </w:p>
    <w:p w14:paraId="5D753493" w14:textId="77777777" w:rsidR="00AB4E62" w:rsidRDefault="00AB4E62" w:rsidP="0025745A">
      <w:pPr>
        <w:pStyle w:val="BodyText"/>
      </w:pPr>
    </w:p>
    <w:p w14:paraId="746EC311" w14:textId="28A6B97F" w:rsidR="0025745A" w:rsidRPr="00AB4E62" w:rsidRDefault="0005402C" w:rsidP="00714556">
      <w:pPr>
        <w:pStyle w:val="BodyText"/>
        <w:spacing w:line="360" w:lineRule="auto"/>
        <w:jc w:val="both"/>
        <w:rPr>
          <w:b w:val="0"/>
        </w:rPr>
      </w:pPr>
      <w:r w:rsidRPr="005D4F2F">
        <w:rPr>
          <w:b w:val="0"/>
        </w:rPr>
        <w:t xml:space="preserve">The Budget </w:t>
      </w:r>
      <w:r w:rsidR="009D72E4" w:rsidRPr="005D4F2F">
        <w:rPr>
          <w:b w:val="0"/>
        </w:rPr>
        <w:t>20</w:t>
      </w:r>
      <w:r w:rsidR="009D72E4">
        <w:rPr>
          <w:b w:val="0"/>
        </w:rPr>
        <w:t>25</w:t>
      </w:r>
      <w:r w:rsidR="009D72E4" w:rsidRPr="005D4F2F">
        <w:rPr>
          <w:b w:val="0"/>
        </w:rPr>
        <w:t xml:space="preserve"> </w:t>
      </w:r>
      <w:r w:rsidRPr="005D4F2F">
        <w:rPr>
          <w:b w:val="0"/>
        </w:rPr>
        <w:t xml:space="preserve">short-term models use economic and demographic inputs from </w:t>
      </w:r>
      <w:r>
        <w:rPr>
          <w:b w:val="0"/>
        </w:rPr>
        <w:t>the</w:t>
      </w:r>
      <w:r w:rsidRPr="005D4F2F">
        <w:rPr>
          <w:b w:val="0"/>
        </w:rPr>
        <w:t xml:space="preserve"> Georgia forecast produced by </w:t>
      </w:r>
      <w:r w:rsidR="009D72E4">
        <w:rPr>
          <w:b w:val="0"/>
        </w:rPr>
        <w:t>S&amp;P Global</w:t>
      </w:r>
      <w:r w:rsidRPr="005D4F2F">
        <w:rPr>
          <w:b w:val="0"/>
        </w:rPr>
        <w:t>.</w:t>
      </w:r>
      <w:r w:rsidRPr="004834DF">
        <w:rPr>
          <w:b w:val="0"/>
          <w:color w:val="FF0000"/>
        </w:rPr>
        <w:t xml:space="preserve"> </w:t>
      </w:r>
      <w:r w:rsidRPr="006B753A">
        <w:rPr>
          <w:b w:val="0"/>
        </w:rPr>
        <w:t xml:space="preserve">The short-term energy forecasts rely on the monthly interpolations derived from quarterly projections of </w:t>
      </w:r>
      <w:r>
        <w:rPr>
          <w:b w:val="0"/>
        </w:rPr>
        <w:t xml:space="preserve">demographic and </w:t>
      </w:r>
      <w:r w:rsidRPr="006B753A">
        <w:rPr>
          <w:b w:val="0"/>
        </w:rPr>
        <w:t>economic variables, including</w:t>
      </w:r>
      <w:r>
        <w:rPr>
          <w:b w:val="0"/>
        </w:rPr>
        <w:t xml:space="preserve"> the</w:t>
      </w:r>
      <w:r w:rsidRPr="006B753A">
        <w:rPr>
          <w:b w:val="0"/>
        </w:rPr>
        <w:t xml:space="preserve"> </w:t>
      </w:r>
      <w:r>
        <w:rPr>
          <w:b w:val="0"/>
        </w:rPr>
        <w:t xml:space="preserve">number of </w:t>
      </w:r>
      <w:r w:rsidRPr="0039114B">
        <w:rPr>
          <w:b w:val="0"/>
        </w:rPr>
        <w:t xml:space="preserve">Georgia </w:t>
      </w:r>
      <w:r w:rsidR="00301807">
        <w:rPr>
          <w:b w:val="0"/>
        </w:rPr>
        <w:t xml:space="preserve">private </w:t>
      </w:r>
      <w:r w:rsidR="008D3BB8" w:rsidRPr="00734EBC">
        <w:rPr>
          <w:b w:val="0"/>
        </w:rPr>
        <w:t>housing starts</w:t>
      </w:r>
      <w:r w:rsidRPr="0039114B">
        <w:rPr>
          <w:b w:val="0"/>
        </w:rPr>
        <w:t>, Georgia</w:t>
      </w:r>
      <w:r w:rsidR="00D37ABE" w:rsidRPr="00734EBC">
        <w:rPr>
          <w:b w:val="0"/>
        </w:rPr>
        <w:t xml:space="preserve">’s unemployment rate, </w:t>
      </w:r>
      <w:r w:rsidR="0039114B" w:rsidRPr="00734EBC">
        <w:rPr>
          <w:b w:val="0"/>
        </w:rPr>
        <w:t xml:space="preserve">Georgia’s </w:t>
      </w:r>
      <w:r w:rsidR="00C6490E">
        <w:rPr>
          <w:b w:val="0"/>
        </w:rPr>
        <w:t>gross state product</w:t>
      </w:r>
      <w:r w:rsidR="00D37ABE" w:rsidRPr="00734EBC">
        <w:rPr>
          <w:b w:val="0"/>
        </w:rPr>
        <w:t xml:space="preserve"> and industrial production</w:t>
      </w:r>
      <w:r w:rsidRPr="0039114B">
        <w:rPr>
          <w:b w:val="0"/>
        </w:rPr>
        <w:t>.</w:t>
      </w:r>
      <w:r w:rsidR="00616255">
        <w:rPr>
          <w:b w:val="0"/>
        </w:rPr>
        <w:t xml:space="preserve"> </w:t>
      </w:r>
      <w:r w:rsidR="0025745A" w:rsidRPr="004834DF">
        <w:rPr>
          <w:b w:val="0"/>
          <w:color w:val="FF0000"/>
        </w:rPr>
        <w:t xml:space="preserve"> </w:t>
      </w:r>
    </w:p>
    <w:p w14:paraId="583E50F2" w14:textId="77777777" w:rsidR="0025745A" w:rsidRPr="003A3426" w:rsidRDefault="0025745A" w:rsidP="007D3743">
      <w:pPr>
        <w:jc w:val="both"/>
      </w:pPr>
    </w:p>
    <w:p w14:paraId="69B431CC" w14:textId="3913521E" w:rsidR="0025745A" w:rsidRPr="004A2E6E" w:rsidRDefault="00BA00DE" w:rsidP="0025745A">
      <w:pPr>
        <w:pStyle w:val="Heading1"/>
        <w:jc w:val="left"/>
      </w:pPr>
      <w:bookmarkStart w:id="477" w:name="_Toc347120452"/>
      <w:bookmarkStart w:id="478" w:name="_Toc188257175"/>
      <w:bookmarkStart w:id="479" w:name="_Toc188257390"/>
      <w:bookmarkStart w:id="480" w:name="_Toc188257614"/>
      <w:bookmarkStart w:id="481" w:name="_Toc189162623"/>
      <w:r>
        <w:rPr>
          <w:rFonts w:ascii="Arial" w:hAnsi="Arial" w:cs="Arial"/>
          <w:b/>
          <w:color w:val="auto"/>
        </w:rPr>
        <w:t>9</w:t>
      </w:r>
      <w:r w:rsidR="0025745A" w:rsidRPr="0025745A">
        <w:rPr>
          <w:rFonts w:ascii="Arial" w:hAnsi="Arial" w:cs="Arial"/>
          <w:b/>
          <w:color w:val="auto"/>
        </w:rPr>
        <w:t>.2</w:t>
      </w:r>
      <w:r w:rsidR="0025745A" w:rsidRPr="0025745A">
        <w:rPr>
          <w:rFonts w:ascii="Arial" w:hAnsi="Arial" w:cs="Arial"/>
          <w:b/>
          <w:color w:val="auto"/>
        </w:rPr>
        <w:tab/>
        <w:t>LONG-TERM ENERGY MODEL ECONOMIC ASSUMPTIONS</w:t>
      </w:r>
      <w:bookmarkEnd w:id="477"/>
      <w:bookmarkEnd w:id="478"/>
      <w:bookmarkEnd w:id="479"/>
      <w:bookmarkEnd w:id="480"/>
      <w:bookmarkEnd w:id="481"/>
    </w:p>
    <w:p w14:paraId="40E74FCD" w14:textId="77777777" w:rsidR="0025745A" w:rsidRPr="003A3426" w:rsidRDefault="0025745A" w:rsidP="0025745A">
      <w:pPr>
        <w:jc w:val="left"/>
      </w:pPr>
    </w:p>
    <w:p w14:paraId="6E1B1351" w14:textId="77777777" w:rsidR="00734034" w:rsidRDefault="00734034" w:rsidP="00C3028B">
      <w:bookmarkStart w:id="482" w:name="_Toc347120453"/>
    </w:p>
    <w:p w14:paraId="04ED4C82" w14:textId="2016282D" w:rsidR="0025745A" w:rsidRDefault="00330771" w:rsidP="00734034">
      <w:pPr>
        <w:jc w:val="left"/>
      </w:pPr>
      <w:r>
        <w:t>9</w:t>
      </w:r>
      <w:r w:rsidR="0025745A" w:rsidRPr="00AB4E62">
        <w:t>.2.1</w:t>
      </w:r>
      <w:r w:rsidR="0025745A" w:rsidRPr="00AB4E62">
        <w:tab/>
        <w:t>Overview</w:t>
      </w:r>
      <w:bookmarkEnd w:id="482"/>
      <w:r w:rsidR="0025745A" w:rsidRPr="00AB4E62">
        <w:t xml:space="preserve"> </w:t>
      </w:r>
    </w:p>
    <w:p w14:paraId="1E9CD352" w14:textId="77777777" w:rsidR="00580A7B" w:rsidRPr="00580A7B" w:rsidRDefault="00580A7B" w:rsidP="00580A7B"/>
    <w:p w14:paraId="765F2D7E" w14:textId="5DC946B4" w:rsidR="0005402C" w:rsidRDefault="0005402C" w:rsidP="0005402C">
      <w:pPr>
        <w:spacing w:line="360" w:lineRule="auto"/>
        <w:jc w:val="both"/>
        <w:rPr>
          <w:b w:val="0"/>
        </w:rPr>
      </w:pPr>
      <w:r w:rsidRPr="00580A7B">
        <w:rPr>
          <w:b w:val="0"/>
        </w:rPr>
        <w:t xml:space="preserve">The Budget </w:t>
      </w:r>
      <w:r w:rsidR="003F5846" w:rsidRPr="00580A7B">
        <w:rPr>
          <w:b w:val="0"/>
        </w:rPr>
        <w:t>20</w:t>
      </w:r>
      <w:r w:rsidR="003F5846">
        <w:rPr>
          <w:b w:val="0"/>
        </w:rPr>
        <w:t>25</w:t>
      </w:r>
      <w:r w:rsidR="003F5846" w:rsidRPr="00580A7B">
        <w:rPr>
          <w:b w:val="0"/>
        </w:rPr>
        <w:t xml:space="preserve"> </w:t>
      </w:r>
      <w:r w:rsidRPr="00580A7B">
        <w:rPr>
          <w:b w:val="0"/>
        </w:rPr>
        <w:t xml:space="preserve">long-term energy models used economic and demographic inputs developed from the Georgia forecast produced by </w:t>
      </w:r>
      <w:r w:rsidR="003F5846">
        <w:rPr>
          <w:b w:val="0"/>
        </w:rPr>
        <w:t>S&amp;P Global</w:t>
      </w:r>
      <w:r w:rsidRPr="00580A7B">
        <w:rPr>
          <w:b w:val="0"/>
        </w:rPr>
        <w:t>.</w:t>
      </w:r>
      <w:r w:rsidR="004A7B3A">
        <w:rPr>
          <w:b w:val="0"/>
        </w:rPr>
        <w:t xml:space="preserve"> </w:t>
      </w:r>
      <w:r w:rsidR="007B47AE">
        <w:rPr>
          <w:b w:val="0"/>
        </w:rPr>
        <w:t>The k</w:t>
      </w:r>
      <w:r w:rsidR="004A7B3A">
        <w:rPr>
          <w:b w:val="0"/>
        </w:rPr>
        <w:t xml:space="preserve">ey variables used in the </w:t>
      </w:r>
      <w:r w:rsidR="007B47AE">
        <w:rPr>
          <w:b w:val="0"/>
        </w:rPr>
        <w:t xml:space="preserve">long-term energy </w:t>
      </w:r>
      <w:r w:rsidR="004A7B3A">
        <w:rPr>
          <w:b w:val="0"/>
        </w:rPr>
        <w:t>models are discussed below.</w:t>
      </w:r>
    </w:p>
    <w:p w14:paraId="3C61224A" w14:textId="77777777" w:rsidR="0005402C" w:rsidRPr="00580A7B" w:rsidRDefault="0005402C" w:rsidP="00734034">
      <w:pPr>
        <w:spacing w:line="276" w:lineRule="auto"/>
        <w:jc w:val="both"/>
        <w:rPr>
          <w:b w:val="0"/>
        </w:rPr>
      </w:pPr>
    </w:p>
    <w:p w14:paraId="5B5FA82C" w14:textId="68BA4B72" w:rsidR="00580A7B" w:rsidRPr="00734034" w:rsidRDefault="00330771" w:rsidP="00734034">
      <w:pPr>
        <w:jc w:val="left"/>
      </w:pPr>
      <w:bookmarkStart w:id="483" w:name="_Toc347120454"/>
      <w:bookmarkStart w:id="484" w:name="_Toc347155996"/>
      <w:r>
        <w:t>9</w:t>
      </w:r>
      <w:r w:rsidR="00580A7B" w:rsidRPr="00926D6E">
        <w:t>.2.2</w:t>
      </w:r>
      <w:r w:rsidR="00580A7B" w:rsidRPr="00926D6E">
        <w:tab/>
        <w:t xml:space="preserve">Income </w:t>
      </w:r>
      <w:bookmarkEnd w:id="483"/>
      <w:bookmarkEnd w:id="484"/>
      <w:r w:rsidR="00580A7B" w:rsidRPr="00926D6E">
        <w:t xml:space="preserve">per Household </w:t>
      </w:r>
    </w:p>
    <w:p w14:paraId="7FC38EBA" w14:textId="77777777" w:rsidR="00926D6E" w:rsidRPr="00926D6E" w:rsidRDefault="00926D6E" w:rsidP="00926D6E"/>
    <w:p w14:paraId="02191399" w14:textId="21D3D52B" w:rsidR="0005402C" w:rsidRPr="00580A7B" w:rsidRDefault="0005402C" w:rsidP="0005402C">
      <w:pPr>
        <w:spacing w:line="360" w:lineRule="auto"/>
        <w:jc w:val="both"/>
        <w:rPr>
          <w:b w:val="0"/>
        </w:rPr>
      </w:pPr>
      <w:r w:rsidRPr="00580A7B">
        <w:rPr>
          <w:b w:val="0"/>
        </w:rPr>
        <w:t xml:space="preserve">The long-term residential energy forecast is produced using real income per </w:t>
      </w:r>
      <w:r>
        <w:rPr>
          <w:b w:val="0"/>
        </w:rPr>
        <w:t>h</w:t>
      </w:r>
      <w:r w:rsidRPr="00580A7B">
        <w:rPr>
          <w:b w:val="0"/>
        </w:rPr>
        <w:t xml:space="preserve">ousehold by housing type as the key economic driver. It represents </w:t>
      </w:r>
      <w:r>
        <w:rPr>
          <w:b w:val="0"/>
        </w:rPr>
        <w:t>s</w:t>
      </w:r>
      <w:r w:rsidRPr="00580A7B">
        <w:rPr>
          <w:b w:val="0"/>
        </w:rPr>
        <w:t>ingle</w:t>
      </w:r>
      <w:r>
        <w:rPr>
          <w:b w:val="0"/>
        </w:rPr>
        <w:t>-f</w:t>
      </w:r>
      <w:r w:rsidRPr="00580A7B">
        <w:rPr>
          <w:b w:val="0"/>
        </w:rPr>
        <w:t xml:space="preserve">amily </w:t>
      </w:r>
      <w:r>
        <w:rPr>
          <w:b w:val="0"/>
        </w:rPr>
        <w:t>i</w:t>
      </w:r>
      <w:r w:rsidRPr="00580A7B">
        <w:rPr>
          <w:b w:val="0"/>
        </w:rPr>
        <w:t xml:space="preserve">ncome per </w:t>
      </w:r>
      <w:r>
        <w:rPr>
          <w:b w:val="0"/>
        </w:rPr>
        <w:t>h</w:t>
      </w:r>
      <w:r w:rsidRPr="00580A7B">
        <w:rPr>
          <w:b w:val="0"/>
        </w:rPr>
        <w:t xml:space="preserve">ousehold. </w:t>
      </w:r>
      <w:r>
        <w:rPr>
          <w:b w:val="0"/>
        </w:rPr>
        <w:t>For m</w:t>
      </w:r>
      <w:r w:rsidRPr="00580A7B">
        <w:rPr>
          <w:b w:val="0"/>
        </w:rPr>
        <w:t xml:space="preserve">ultifamily and </w:t>
      </w:r>
      <w:r>
        <w:rPr>
          <w:b w:val="0"/>
        </w:rPr>
        <w:t>m</w:t>
      </w:r>
      <w:r w:rsidRPr="00580A7B">
        <w:rPr>
          <w:b w:val="0"/>
        </w:rPr>
        <w:t xml:space="preserve">anufactured </w:t>
      </w:r>
      <w:r>
        <w:rPr>
          <w:b w:val="0"/>
        </w:rPr>
        <w:t>h</w:t>
      </w:r>
      <w:r w:rsidRPr="00580A7B">
        <w:rPr>
          <w:b w:val="0"/>
        </w:rPr>
        <w:t>omes</w:t>
      </w:r>
      <w:r>
        <w:rPr>
          <w:b w:val="0"/>
        </w:rPr>
        <w:t xml:space="preserve">, </w:t>
      </w:r>
      <w:r w:rsidRPr="00580A7B">
        <w:rPr>
          <w:b w:val="0"/>
        </w:rPr>
        <w:t xml:space="preserve">income per </w:t>
      </w:r>
      <w:r>
        <w:rPr>
          <w:b w:val="0"/>
        </w:rPr>
        <w:t>h</w:t>
      </w:r>
      <w:r w:rsidRPr="00580A7B">
        <w:rPr>
          <w:b w:val="0"/>
        </w:rPr>
        <w:t xml:space="preserve">ousehold </w:t>
      </w:r>
      <w:r>
        <w:rPr>
          <w:b w:val="0"/>
        </w:rPr>
        <w:t>is</w:t>
      </w:r>
      <w:r w:rsidRPr="00580A7B">
        <w:rPr>
          <w:b w:val="0"/>
        </w:rPr>
        <w:t xml:space="preserve"> calculated as a percentage of </w:t>
      </w:r>
      <w:r>
        <w:rPr>
          <w:b w:val="0"/>
        </w:rPr>
        <w:t>s</w:t>
      </w:r>
      <w:r w:rsidRPr="00580A7B">
        <w:rPr>
          <w:b w:val="0"/>
        </w:rPr>
        <w:t>ingle</w:t>
      </w:r>
      <w:r w:rsidR="001D11BE">
        <w:rPr>
          <w:b w:val="0"/>
        </w:rPr>
        <w:t>-</w:t>
      </w:r>
      <w:r>
        <w:rPr>
          <w:b w:val="0"/>
        </w:rPr>
        <w:t>f</w:t>
      </w:r>
      <w:r w:rsidRPr="00580A7B">
        <w:rPr>
          <w:b w:val="0"/>
        </w:rPr>
        <w:t xml:space="preserve">amily </w:t>
      </w:r>
      <w:r>
        <w:rPr>
          <w:b w:val="0"/>
        </w:rPr>
        <w:t>i</w:t>
      </w:r>
      <w:r w:rsidRPr="00580A7B">
        <w:rPr>
          <w:b w:val="0"/>
        </w:rPr>
        <w:t xml:space="preserve">ncome based on 2005 RECS data. It is assumed that this economic metric adequately represents the household income for the residential customers of Georgia Power. </w:t>
      </w:r>
    </w:p>
    <w:p w14:paraId="171185F6" w14:textId="77777777" w:rsidR="0005402C" w:rsidRPr="00580A7B" w:rsidRDefault="0005402C" w:rsidP="0005402C">
      <w:pPr>
        <w:spacing w:line="360" w:lineRule="auto"/>
        <w:jc w:val="left"/>
        <w:rPr>
          <w:b w:val="0"/>
        </w:rPr>
      </w:pPr>
    </w:p>
    <w:p w14:paraId="7DF3EC84" w14:textId="479DECCA" w:rsidR="00580A7B" w:rsidRPr="00734034" w:rsidRDefault="00330771" w:rsidP="00734034">
      <w:pPr>
        <w:jc w:val="left"/>
      </w:pPr>
      <w:bookmarkStart w:id="485" w:name="_Toc347120455"/>
      <w:bookmarkStart w:id="486" w:name="_Toc347155997"/>
      <w:r>
        <w:t>9</w:t>
      </w:r>
      <w:r w:rsidR="00580A7B" w:rsidRPr="00D528BE">
        <w:t>.2.3</w:t>
      </w:r>
      <w:r w:rsidR="00580A7B" w:rsidRPr="00D528BE">
        <w:tab/>
        <w:t>Floor Space (Commercial Activity)</w:t>
      </w:r>
      <w:bookmarkEnd w:id="485"/>
      <w:bookmarkEnd w:id="486"/>
    </w:p>
    <w:p w14:paraId="11C58030" w14:textId="77777777" w:rsidR="00D528BE" w:rsidRPr="00D528BE" w:rsidRDefault="00D528BE" w:rsidP="00D528BE"/>
    <w:p w14:paraId="60D36B35" w14:textId="5D17DE52" w:rsidR="00580A7B" w:rsidRPr="00580A7B" w:rsidRDefault="00580A7B" w:rsidP="00580A7B">
      <w:pPr>
        <w:spacing w:line="360" w:lineRule="auto"/>
        <w:jc w:val="both"/>
        <w:rPr>
          <w:b w:val="0"/>
        </w:rPr>
      </w:pPr>
      <w:r w:rsidRPr="00580A7B">
        <w:rPr>
          <w:b w:val="0"/>
        </w:rPr>
        <w:t xml:space="preserve">The </w:t>
      </w:r>
      <w:r w:rsidR="00461837">
        <w:rPr>
          <w:b w:val="0"/>
        </w:rPr>
        <w:t>c</w:t>
      </w:r>
      <w:r w:rsidRPr="00580A7B">
        <w:rPr>
          <w:b w:val="0"/>
        </w:rPr>
        <w:t xml:space="preserve">ommercial </w:t>
      </w:r>
      <w:r w:rsidR="009532FF">
        <w:rPr>
          <w:b w:val="0"/>
        </w:rPr>
        <w:t>LoadMAP</w:t>
      </w:r>
      <w:r w:rsidR="00CD4E0F">
        <w:rPr>
          <w:b w:val="0"/>
        </w:rPr>
        <w:t xml:space="preserve"> model</w:t>
      </w:r>
      <w:r w:rsidRPr="00580A7B">
        <w:rPr>
          <w:b w:val="0"/>
        </w:rPr>
        <w:t xml:space="preserve"> uses </w:t>
      </w:r>
      <w:r w:rsidR="009532FF">
        <w:rPr>
          <w:b w:val="0"/>
        </w:rPr>
        <w:t xml:space="preserve">a </w:t>
      </w:r>
      <w:r w:rsidRPr="00580A7B">
        <w:rPr>
          <w:b w:val="0"/>
        </w:rPr>
        <w:t xml:space="preserve">floor space (square footage) forecast by building type </w:t>
      </w:r>
      <w:r w:rsidR="009532FF">
        <w:rPr>
          <w:b w:val="0"/>
        </w:rPr>
        <w:t xml:space="preserve">to produce </w:t>
      </w:r>
      <w:r w:rsidR="00CD4E0F">
        <w:rPr>
          <w:b w:val="0"/>
        </w:rPr>
        <w:t>the</w:t>
      </w:r>
      <w:r w:rsidR="009532FF">
        <w:rPr>
          <w:b w:val="0"/>
        </w:rPr>
        <w:t xml:space="preserve"> long-term forecast</w:t>
      </w:r>
      <w:r w:rsidR="00CD4E0F">
        <w:rPr>
          <w:b w:val="0"/>
        </w:rPr>
        <w:t xml:space="preserve"> of commercial energy</w:t>
      </w:r>
      <w:r w:rsidR="007C351A">
        <w:rPr>
          <w:b w:val="0"/>
        </w:rPr>
        <w:t xml:space="preserve"> sales</w:t>
      </w:r>
      <w:r w:rsidRPr="00580A7B">
        <w:rPr>
          <w:b w:val="0"/>
        </w:rPr>
        <w:t xml:space="preserve">. </w:t>
      </w:r>
      <w:r w:rsidR="001D027C">
        <w:rPr>
          <w:b w:val="0"/>
        </w:rPr>
        <w:t>The square footage forecast is produced by SCS and utilizes historical and short-term forecast square footage data from Dodge Data and Analytics</w:t>
      </w:r>
      <w:r w:rsidR="00B82EA9">
        <w:rPr>
          <w:b w:val="0"/>
        </w:rPr>
        <w:t>.</w:t>
      </w:r>
      <w:r w:rsidR="00616255">
        <w:rPr>
          <w:b w:val="0"/>
        </w:rPr>
        <w:t xml:space="preserve"> </w:t>
      </w:r>
    </w:p>
    <w:p w14:paraId="0943E92A" w14:textId="4B6799FD" w:rsidR="00734034" w:rsidRPr="00580A7B" w:rsidRDefault="00734034" w:rsidP="00734034">
      <w:pPr>
        <w:spacing w:line="276" w:lineRule="auto"/>
        <w:jc w:val="left"/>
        <w:rPr>
          <w:b w:val="0"/>
        </w:rPr>
      </w:pPr>
    </w:p>
    <w:p w14:paraId="14B048CF" w14:textId="3DFDD675" w:rsidR="00C7749A" w:rsidRDefault="00C7749A">
      <w:pPr>
        <w:spacing w:after="200" w:line="276" w:lineRule="auto"/>
        <w:jc w:val="left"/>
      </w:pPr>
      <w:bookmarkStart w:id="487" w:name="_Toc347120456"/>
      <w:bookmarkStart w:id="488" w:name="_Toc347155998"/>
    </w:p>
    <w:p w14:paraId="7900496A" w14:textId="4BEE6BF4" w:rsidR="00580A7B" w:rsidRPr="00734034" w:rsidRDefault="00330771" w:rsidP="00734034">
      <w:pPr>
        <w:jc w:val="left"/>
      </w:pPr>
      <w:r>
        <w:lastRenderedPageBreak/>
        <w:t>9</w:t>
      </w:r>
      <w:r w:rsidR="00580A7B" w:rsidRPr="00D528BE">
        <w:t>.2.4</w:t>
      </w:r>
      <w:r w:rsidR="00580A7B" w:rsidRPr="00D528BE">
        <w:tab/>
        <w:t>Industrial Production (Industrial Activity)</w:t>
      </w:r>
      <w:bookmarkEnd w:id="487"/>
      <w:bookmarkEnd w:id="488"/>
    </w:p>
    <w:p w14:paraId="1B0D5535" w14:textId="77777777" w:rsidR="00D528BE" w:rsidRPr="00D528BE" w:rsidRDefault="00D528BE" w:rsidP="00D528BE"/>
    <w:p w14:paraId="3324084F" w14:textId="1603DD83" w:rsidR="0005402C" w:rsidRDefault="0005402C" w:rsidP="0005402C">
      <w:pPr>
        <w:spacing w:line="360" w:lineRule="auto"/>
        <w:jc w:val="both"/>
        <w:rPr>
          <w:b w:val="0"/>
        </w:rPr>
      </w:pPr>
      <w:r>
        <w:rPr>
          <w:b w:val="0"/>
        </w:rPr>
        <w:t xml:space="preserve">The </w:t>
      </w:r>
      <w:r w:rsidR="00461837">
        <w:rPr>
          <w:b w:val="0"/>
        </w:rPr>
        <w:t>i</w:t>
      </w:r>
      <w:r>
        <w:rPr>
          <w:b w:val="0"/>
        </w:rPr>
        <w:t xml:space="preserve">ndustrial </w:t>
      </w:r>
      <w:r w:rsidR="00CD4E0F">
        <w:rPr>
          <w:b w:val="0"/>
        </w:rPr>
        <w:t>LoadMAP</w:t>
      </w:r>
      <w:r>
        <w:rPr>
          <w:b w:val="0"/>
        </w:rPr>
        <w:t xml:space="preserve"> model used in </w:t>
      </w:r>
      <w:r w:rsidRPr="00580A7B">
        <w:rPr>
          <w:b w:val="0"/>
        </w:rPr>
        <w:t xml:space="preserve">Budget </w:t>
      </w:r>
      <w:r w:rsidR="000B10E3" w:rsidRPr="00580A7B">
        <w:rPr>
          <w:b w:val="0"/>
        </w:rPr>
        <w:t>20</w:t>
      </w:r>
      <w:r w:rsidR="000B10E3">
        <w:rPr>
          <w:b w:val="0"/>
        </w:rPr>
        <w:t>25</w:t>
      </w:r>
      <w:r w:rsidR="000B10E3" w:rsidRPr="00580A7B">
        <w:rPr>
          <w:b w:val="0"/>
        </w:rPr>
        <w:t xml:space="preserve"> </w:t>
      </w:r>
      <w:r w:rsidRPr="00580A7B">
        <w:rPr>
          <w:b w:val="0"/>
        </w:rPr>
        <w:t>use</w:t>
      </w:r>
      <w:r>
        <w:rPr>
          <w:b w:val="0"/>
        </w:rPr>
        <w:t>s</w:t>
      </w:r>
      <w:r w:rsidRPr="00580A7B">
        <w:rPr>
          <w:b w:val="0"/>
        </w:rPr>
        <w:t xml:space="preserve"> annual industrial production by selected NAICS categories as a driver to forecast long-term energy sales. This driver describes the output of each NAICS category in the industrial class. </w:t>
      </w:r>
      <w:r w:rsidRPr="00D30CCD">
        <w:rPr>
          <w:b w:val="0"/>
        </w:rPr>
        <w:t xml:space="preserve">Since the energy requirements of each group are closely related to the quantity of output produced, this measure is a good choice for a driver of the industrial forecast. The base year consumption (GWh) provides a scale for each segment, which is then modified by the </w:t>
      </w:r>
      <w:r>
        <w:rPr>
          <w:b w:val="0"/>
        </w:rPr>
        <w:t xml:space="preserve">Industrial </w:t>
      </w:r>
      <w:r w:rsidRPr="00D30CCD">
        <w:rPr>
          <w:b w:val="0"/>
        </w:rPr>
        <w:t>Production Index over time.</w:t>
      </w:r>
    </w:p>
    <w:p w14:paraId="3196AF42" w14:textId="77777777" w:rsidR="00734034" w:rsidRPr="00580A7B" w:rsidRDefault="00734034" w:rsidP="00734034">
      <w:pPr>
        <w:spacing w:line="276" w:lineRule="auto"/>
        <w:jc w:val="left"/>
        <w:rPr>
          <w:b w:val="0"/>
        </w:rPr>
      </w:pPr>
    </w:p>
    <w:p w14:paraId="2AD71013" w14:textId="6DA6E95E" w:rsidR="00580A7B" w:rsidRPr="00734034" w:rsidRDefault="00330771" w:rsidP="00734034">
      <w:pPr>
        <w:jc w:val="left"/>
      </w:pPr>
      <w:bookmarkStart w:id="489" w:name="_Toc347120457"/>
      <w:bookmarkStart w:id="490" w:name="_Toc347155999"/>
      <w:r>
        <w:t>9</w:t>
      </w:r>
      <w:r w:rsidR="00580A7B" w:rsidRPr="00D528BE">
        <w:t>.2.5</w:t>
      </w:r>
      <w:r w:rsidR="00580A7B" w:rsidRPr="00D528BE">
        <w:tab/>
        <w:t>Demographics</w:t>
      </w:r>
      <w:bookmarkEnd w:id="489"/>
      <w:bookmarkEnd w:id="490"/>
    </w:p>
    <w:p w14:paraId="17906826" w14:textId="77777777" w:rsidR="00D528BE" w:rsidRPr="00D528BE" w:rsidRDefault="00D528BE" w:rsidP="00D528BE"/>
    <w:p w14:paraId="19F8299D" w14:textId="7B30FEA7" w:rsidR="00580A7B" w:rsidRPr="00580A7B" w:rsidRDefault="0005402C" w:rsidP="00580A7B">
      <w:pPr>
        <w:spacing w:line="360" w:lineRule="auto"/>
        <w:jc w:val="both"/>
        <w:rPr>
          <w:b w:val="0"/>
        </w:rPr>
      </w:pPr>
      <w:r w:rsidRPr="00580A7B">
        <w:rPr>
          <w:b w:val="0"/>
        </w:rPr>
        <w:t xml:space="preserve">Demographic trends in Georgia are an integral part of the </w:t>
      </w:r>
      <w:r w:rsidR="00916FB2">
        <w:rPr>
          <w:b w:val="0"/>
        </w:rPr>
        <w:t>state’s</w:t>
      </w:r>
      <w:r w:rsidR="00916FB2" w:rsidRPr="00580A7B">
        <w:rPr>
          <w:b w:val="0"/>
        </w:rPr>
        <w:t xml:space="preserve"> </w:t>
      </w:r>
      <w:r w:rsidRPr="00580A7B">
        <w:rPr>
          <w:b w:val="0"/>
        </w:rPr>
        <w:t xml:space="preserve">economy and play an important role in energy consumption trends. Consequently, </w:t>
      </w:r>
      <w:r w:rsidR="00585AA1">
        <w:rPr>
          <w:b w:val="0"/>
        </w:rPr>
        <w:t>one key</w:t>
      </w:r>
      <w:r w:rsidR="00585AA1" w:rsidRPr="00580A7B">
        <w:rPr>
          <w:b w:val="0"/>
        </w:rPr>
        <w:t xml:space="preserve"> </w:t>
      </w:r>
      <w:r w:rsidRPr="00580A7B">
        <w:rPr>
          <w:b w:val="0"/>
        </w:rPr>
        <w:t xml:space="preserve">demographic variable </w:t>
      </w:r>
      <w:r w:rsidR="004F5083">
        <w:rPr>
          <w:b w:val="0"/>
        </w:rPr>
        <w:t>used in</w:t>
      </w:r>
      <w:r w:rsidRPr="00580A7B">
        <w:rPr>
          <w:b w:val="0"/>
        </w:rPr>
        <w:t xml:space="preserve"> the various energy and customer models used in Budget </w:t>
      </w:r>
      <w:r w:rsidR="000B10E3" w:rsidRPr="00580A7B">
        <w:rPr>
          <w:b w:val="0"/>
        </w:rPr>
        <w:t>20</w:t>
      </w:r>
      <w:r w:rsidR="000B10E3">
        <w:rPr>
          <w:b w:val="0"/>
        </w:rPr>
        <w:t>25</w:t>
      </w:r>
      <w:r w:rsidR="000B10E3" w:rsidRPr="00580A7B">
        <w:rPr>
          <w:b w:val="0"/>
        </w:rPr>
        <w:t xml:space="preserve"> </w:t>
      </w:r>
      <w:r w:rsidR="004C739C">
        <w:rPr>
          <w:b w:val="0"/>
        </w:rPr>
        <w:t>i</w:t>
      </w:r>
      <w:r w:rsidRPr="00580A7B">
        <w:rPr>
          <w:b w:val="0"/>
        </w:rPr>
        <w:t xml:space="preserve">s </w:t>
      </w:r>
      <w:r>
        <w:rPr>
          <w:b w:val="0"/>
        </w:rPr>
        <w:t>the</w:t>
      </w:r>
      <w:r w:rsidRPr="00580A7B">
        <w:rPr>
          <w:b w:val="0"/>
        </w:rPr>
        <w:t xml:space="preserve"> </w:t>
      </w:r>
      <w:r>
        <w:rPr>
          <w:b w:val="0"/>
        </w:rPr>
        <w:t xml:space="preserve">number of households </w:t>
      </w:r>
      <w:r w:rsidR="004C739C">
        <w:rPr>
          <w:b w:val="0"/>
        </w:rPr>
        <w:t>in the state</w:t>
      </w:r>
      <w:r w:rsidRPr="00580A7B">
        <w:rPr>
          <w:b w:val="0"/>
        </w:rPr>
        <w:t>.</w:t>
      </w:r>
    </w:p>
    <w:p w14:paraId="03F082E2" w14:textId="77777777" w:rsidR="00734034" w:rsidRPr="00580A7B" w:rsidRDefault="00734034" w:rsidP="00734034">
      <w:pPr>
        <w:spacing w:line="276" w:lineRule="auto"/>
        <w:jc w:val="left"/>
        <w:rPr>
          <w:b w:val="0"/>
        </w:rPr>
      </w:pPr>
    </w:p>
    <w:p w14:paraId="085BFDC4" w14:textId="0CF5EEDB" w:rsidR="00D528BE" w:rsidRDefault="00330771" w:rsidP="00C3028B">
      <w:pPr>
        <w:jc w:val="left"/>
      </w:pPr>
      <w:bookmarkStart w:id="491" w:name="_Toc347120458"/>
      <w:bookmarkStart w:id="492" w:name="_Toc347156000"/>
      <w:r>
        <w:t>9</w:t>
      </w:r>
      <w:r w:rsidR="00580A7B" w:rsidRPr="00D528BE">
        <w:t>.2.</w:t>
      </w:r>
      <w:r w:rsidR="00734034">
        <w:t>6</w:t>
      </w:r>
      <w:r w:rsidR="00580A7B" w:rsidRPr="00D528BE">
        <w:t xml:space="preserve"> </w:t>
      </w:r>
      <w:bookmarkEnd w:id="491"/>
      <w:bookmarkEnd w:id="492"/>
      <w:r w:rsidR="00580A7B" w:rsidRPr="00D528BE">
        <w:t>Persons per Household</w:t>
      </w:r>
    </w:p>
    <w:p w14:paraId="15274210" w14:textId="77777777" w:rsidR="00734034" w:rsidRPr="00D528BE" w:rsidRDefault="00734034" w:rsidP="00734034">
      <w:pPr>
        <w:jc w:val="left"/>
      </w:pPr>
    </w:p>
    <w:p w14:paraId="4C230412" w14:textId="6C5CECAB" w:rsidR="00580A7B" w:rsidRDefault="00580A7B" w:rsidP="00D528BE">
      <w:pPr>
        <w:spacing w:line="360" w:lineRule="auto"/>
        <w:jc w:val="both"/>
        <w:rPr>
          <w:b w:val="0"/>
        </w:rPr>
      </w:pPr>
      <w:r w:rsidRPr="00580A7B">
        <w:rPr>
          <w:b w:val="0"/>
        </w:rPr>
        <w:t xml:space="preserve">The </w:t>
      </w:r>
      <w:r w:rsidR="00461837">
        <w:rPr>
          <w:b w:val="0"/>
        </w:rPr>
        <w:t>r</w:t>
      </w:r>
      <w:r w:rsidR="00043206">
        <w:rPr>
          <w:b w:val="0"/>
        </w:rPr>
        <w:t xml:space="preserve">esidential </w:t>
      </w:r>
      <w:r w:rsidR="007C351A">
        <w:rPr>
          <w:b w:val="0"/>
        </w:rPr>
        <w:t>LoadMAP</w:t>
      </w:r>
      <w:r w:rsidRPr="00580A7B">
        <w:rPr>
          <w:b w:val="0"/>
        </w:rPr>
        <w:t xml:space="preserve"> </w:t>
      </w:r>
      <w:r w:rsidR="00043206">
        <w:rPr>
          <w:b w:val="0"/>
        </w:rPr>
        <w:t xml:space="preserve">model </w:t>
      </w:r>
      <w:r w:rsidRPr="00580A7B">
        <w:rPr>
          <w:b w:val="0"/>
        </w:rPr>
        <w:t xml:space="preserve">uses annual projections of the number of persons per household. It represents </w:t>
      </w:r>
      <w:r w:rsidR="00983369">
        <w:rPr>
          <w:b w:val="0"/>
        </w:rPr>
        <w:t>s</w:t>
      </w:r>
      <w:r w:rsidRPr="00580A7B">
        <w:rPr>
          <w:b w:val="0"/>
        </w:rPr>
        <w:t>ingle</w:t>
      </w:r>
      <w:r w:rsidR="00983369">
        <w:rPr>
          <w:b w:val="0"/>
        </w:rPr>
        <w:t>-f</w:t>
      </w:r>
      <w:r w:rsidRPr="00580A7B">
        <w:rPr>
          <w:b w:val="0"/>
        </w:rPr>
        <w:t xml:space="preserve">amily </w:t>
      </w:r>
      <w:r w:rsidR="00983369">
        <w:rPr>
          <w:b w:val="0"/>
        </w:rPr>
        <w:t>p</w:t>
      </w:r>
      <w:r w:rsidRPr="00580A7B">
        <w:rPr>
          <w:b w:val="0"/>
        </w:rPr>
        <w:t xml:space="preserve">ersons per </w:t>
      </w:r>
      <w:r w:rsidR="00983369">
        <w:rPr>
          <w:b w:val="0"/>
        </w:rPr>
        <w:t>h</w:t>
      </w:r>
      <w:r w:rsidRPr="00580A7B">
        <w:rPr>
          <w:b w:val="0"/>
        </w:rPr>
        <w:t xml:space="preserve">ousehold. </w:t>
      </w:r>
      <w:r w:rsidR="00983369">
        <w:rPr>
          <w:b w:val="0"/>
        </w:rPr>
        <w:t>Persons per household for m</w:t>
      </w:r>
      <w:r w:rsidRPr="00580A7B">
        <w:rPr>
          <w:b w:val="0"/>
        </w:rPr>
        <w:t>ulti</w:t>
      </w:r>
      <w:r w:rsidR="00983369">
        <w:rPr>
          <w:b w:val="0"/>
        </w:rPr>
        <w:t>-</w:t>
      </w:r>
      <w:r w:rsidRPr="00580A7B">
        <w:rPr>
          <w:b w:val="0"/>
        </w:rPr>
        <w:t xml:space="preserve">family and </w:t>
      </w:r>
      <w:r w:rsidR="00983369">
        <w:rPr>
          <w:b w:val="0"/>
        </w:rPr>
        <w:t>m</w:t>
      </w:r>
      <w:r w:rsidRPr="00580A7B">
        <w:rPr>
          <w:b w:val="0"/>
        </w:rPr>
        <w:t xml:space="preserve">anufactured </w:t>
      </w:r>
      <w:r w:rsidR="00983369">
        <w:rPr>
          <w:b w:val="0"/>
        </w:rPr>
        <w:t>h</w:t>
      </w:r>
      <w:r w:rsidRPr="00580A7B">
        <w:rPr>
          <w:b w:val="0"/>
        </w:rPr>
        <w:t xml:space="preserve">omes are calculated as a percentage of </w:t>
      </w:r>
      <w:r w:rsidR="00983369">
        <w:rPr>
          <w:b w:val="0"/>
        </w:rPr>
        <w:t>s</w:t>
      </w:r>
      <w:r w:rsidRPr="00580A7B">
        <w:rPr>
          <w:b w:val="0"/>
        </w:rPr>
        <w:t>ingle</w:t>
      </w:r>
      <w:r w:rsidR="00983369">
        <w:rPr>
          <w:b w:val="0"/>
        </w:rPr>
        <w:t>-f</w:t>
      </w:r>
      <w:r w:rsidRPr="00580A7B">
        <w:rPr>
          <w:b w:val="0"/>
        </w:rPr>
        <w:t>amily persons per household based on 2005 RECS data</w:t>
      </w:r>
      <w:r w:rsidR="00983369">
        <w:rPr>
          <w:b w:val="0"/>
        </w:rPr>
        <w:t>.</w:t>
      </w:r>
      <w:r w:rsidRPr="00580A7B">
        <w:rPr>
          <w:b w:val="0"/>
        </w:rPr>
        <w:t xml:space="preserve"> This economic metric represents the characteristics of household size for the residential customers of Georgia Power.</w:t>
      </w:r>
    </w:p>
    <w:p w14:paraId="481E976B" w14:textId="77777777" w:rsidR="00734034" w:rsidRPr="00580A7B" w:rsidRDefault="00734034" w:rsidP="00734034">
      <w:pPr>
        <w:spacing w:line="276" w:lineRule="auto"/>
        <w:jc w:val="both"/>
        <w:rPr>
          <w:b w:val="0"/>
        </w:rPr>
      </w:pPr>
    </w:p>
    <w:p w14:paraId="31492CC9" w14:textId="5DE9E105" w:rsidR="00D528BE" w:rsidRDefault="00330771" w:rsidP="00734034">
      <w:pPr>
        <w:jc w:val="left"/>
      </w:pPr>
      <w:bookmarkStart w:id="493" w:name="_Toc347120459"/>
      <w:bookmarkStart w:id="494" w:name="_Toc347156001"/>
      <w:r>
        <w:t>9</w:t>
      </w:r>
      <w:r w:rsidR="00580A7B" w:rsidRPr="00D528BE">
        <w:t>.2.</w:t>
      </w:r>
      <w:r w:rsidR="00734034">
        <w:t>7</w:t>
      </w:r>
      <w:r w:rsidR="00580A7B" w:rsidRPr="00D528BE">
        <w:t xml:space="preserve"> Housing Type Distribution</w:t>
      </w:r>
      <w:bookmarkEnd w:id="493"/>
      <w:bookmarkEnd w:id="494"/>
    </w:p>
    <w:p w14:paraId="5F47E2F3" w14:textId="77777777" w:rsidR="00D528BE" w:rsidRPr="00D528BE" w:rsidRDefault="00D528BE" w:rsidP="00D528BE"/>
    <w:p w14:paraId="63DA6C80" w14:textId="0D76338E" w:rsidR="00580A7B" w:rsidRPr="00580A7B" w:rsidRDefault="00CC3908" w:rsidP="00580A7B">
      <w:pPr>
        <w:spacing w:line="360" w:lineRule="auto"/>
        <w:jc w:val="both"/>
        <w:rPr>
          <w:b w:val="0"/>
        </w:rPr>
      </w:pPr>
      <w:r>
        <w:rPr>
          <w:b w:val="0"/>
        </w:rPr>
        <w:t>The long-term r</w:t>
      </w:r>
      <w:r w:rsidRPr="00580A7B">
        <w:rPr>
          <w:b w:val="0"/>
        </w:rPr>
        <w:t>esidential energy model is configured to forecast energy sales by housing type</w:t>
      </w:r>
      <w:r w:rsidR="0015488A">
        <w:rPr>
          <w:b w:val="0"/>
        </w:rPr>
        <w:t>:</w:t>
      </w:r>
      <w:r w:rsidR="000E3713">
        <w:rPr>
          <w:b w:val="0"/>
        </w:rPr>
        <w:t xml:space="preserve"> single-family, multi-family</w:t>
      </w:r>
      <w:r w:rsidR="00DD751A">
        <w:rPr>
          <w:b w:val="0"/>
        </w:rPr>
        <w:t>,</w:t>
      </w:r>
      <w:r w:rsidR="000E3713">
        <w:rPr>
          <w:b w:val="0"/>
        </w:rPr>
        <w:t xml:space="preserve"> and manufactured homes</w:t>
      </w:r>
      <w:r w:rsidRPr="00580A7B">
        <w:rPr>
          <w:b w:val="0"/>
        </w:rPr>
        <w:t xml:space="preserve">. </w:t>
      </w:r>
      <w:r w:rsidR="000E3713">
        <w:rPr>
          <w:b w:val="0"/>
        </w:rPr>
        <w:t xml:space="preserve">The forecast is disaggregated into </w:t>
      </w:r>
      <w:r w:rsidR="00975327">
        <w:rPr>
          <w:b w:val="0"/>
        </w:rPr>
        <w:t xml:space="preserve">these groups </w:t>
      </w:r>
      <w:r w:rsidR="000E3713">
        <w:rPr>
          <w:b w:val="0"/>
        </w:rPr>
        <w:t xml:space="preserve">using trends in housing types </w:t>
      </w:r>
      <w:r w:rsidR="00975327">
        <w:rPr>
          <w:b w:val="0"/>
        </w:rPr>
        <w:t>based on</w:t>
      </w:r>
      <w:r w:rsidR="000E3713">
        <w:rPr>
          <w:b w:val="0"/>
        </w:rPr>
        <w:t xml:space="preserve"> the </w:t>
      </w:r>
      <w:r w:rsidR="000D4AE7">
        <w:rPr>
          <w:b w:val="0"/>
        </w:rPr>
        <w:t xml:space="preserve">S&amp;P Global </w:t>
      </w:r>
      <w:r w:rsidR="000E3713">
        <w:rPr>
          <w:b w:val="0"/>
        </w:rPr>
        <w:t>housing stock forecast and calibrated to historic Georgia Power billing data splits.</w:t>
      </w:r>
    </w:p>
    <w:p w14:paraId="71F67789" w14:textId="77777777" w:rsidR="00734034" w:rsidRPr="00580A7B" w:rsidRDefault="00734034" w:rsidP="00C3028B">
      <w:pPr>
        <w:spacing w:line="276" w:lineRule="auto"/>
        <w:jc w:val="left"/>
        <w:rPr>
          <w:b w:val="0"/>
        </w:rPr>
      </w:pPr>
    </w:p>
    <w:p w14:paraId="76F6036F" w14:textId="7926EA75" w:rsidR="00580A7B" w:rsidRDefault="00330771" w:rsidP="00734034">
      <w:pPr>
        <w:jc w:val="left"/>
      </w:pPr>
      <w:r>
        <w:t>9</w:t>
      </w:r>
      <w:r w:rsidR="00580A7B" w:rsidRPr="00D528BE">
        <w:t>.2.</w:t>
      </w:r>
      <w:r w:rsidR="00734034">
        <w:t>8</w:t>
      </w:r>
      <w:r w:rsidR="00580A7B" w:rsidRPr="00D528BE">
        <w:t xml:space="preserve"> Commercial Employment Rate (Commercial Activity)</w:t>
      </w:r>
    </w:p>
    <w:p w14:paraId="56EEA91E" w14:textId="77777777" w:rsidR="00D528BE" w:rsidRPr="00D528BE" w:rsidRDefault="00D528BE" w:rsidP="00D528BE"/>
    <w:p w14:paraId="1CDABE0A" w14:textId="14D1F6D2" w:rsidR="00580A7B" w:rsidRPr="00580A7B" w:rsidRDefault="00CC3908" w:rsidP="00580A7B">
      <w:pPr>
        <w:spacing w:line="360" w:lineRule="auto"/>
        <w:jc w:val="both"/>
        <w:rPr>
          <w:b w:val="0"/>
        </w:rPr>
      </w:pPr>
      <w:r>
        <w:rPr>
          <w:b w:val="0"/>
        </w:rPr>
        <w:t>The long-term commercial energy model</w:t>
      </w:r>
      <w:r w:rsidRPr="00580A7B">
        <w:rPr>
          <w:b w:val="0"/>
        </w:rPr>
        <w:t xml:space="preserve"> uses </w:t>
      </w:r>
      <w:r>
        <w:rPr>
          <w:b w:val="0"/>
        </w:rPr>
        <w:t>the e</w:t>
      </w:r>
      <w:r w:rsidRPr="00580A7B">
        <w:rPr>
          <w:b w:val="0"/>
        </w:rPr>
        <w:t xml:space="preserve">mployment rate </w:t>
      </w:r>
      <w:r>
        <w:rPr>
          <w:b w:val="0"/>
        </w:rPr>
        <w:t>as a driver of the long</w:t>
      </w:r>
      <w:r w:rsidRPr="00580A7B">
        <w:rPr>
          <w:b w:val="0"/>
        </w:rPr>
        <w:t xml:space="preserve">-term energy forecast. </w:t>
      </w:r>
      <w:r>
        <w:rPr>
          <w:b w:val="0"/>
        </w:rPr>
        <w:t>The</w:t>
      </w:r>
      <w:r w:rsidRPr="00580A7B">
        <w:rPr>
          <w:b w:val="0"/>
        </w:rPr>
        <w:t xml:space="preserve"> </w:t>
      </w:r>
      <w:r>
        <w:rPr>
          <w:b w:val="0"/>
        </w:rPr>
        <w:t>e</w:t>
      </w:r>
      <w:r w:rsidRPr="00580A7B">
        <w:rPr>
          <w:b w:val="0"/>
        </w:rPr>
        <w:t xml:space="preserve">mployment </w:t>
      </w:r>
      <w:r>
        <w:rPr>
          <w:b w:val="0"/>
        </w:rPr>
        <w:t xml:space="preserve">rate </w:t>
      </w:r>
      <w:r w:rsidRPr="00580A7B">
        <w:rPr>
          <w:b w:val="0"/>
        </w:rPr>
        <w:t xml:space="preserve">is </w:t>
      </w:r>
      <w:r>
        <w:rPr>
          <w:b w:val="0"/>
        </w:rPr>
        <w:t xml:space="preserve">derived by subtracting the </w:t>
      </w:r>
      <w:r w:rsidRPr="00580A7B">
        <w:rPr>
          <w:b w:val="0"/>
        </w:rPr>
        <w:t xml:space="preserve">Unemployment Rate from </w:t>
      </w:r>
      <w:r>
        <w:rPr>
          <w:b w:val="0"/>
        </w:rPr>
        <w:t xml:space="preserve">the </w:t>
      </w:r>
      <w:r w:rsidRPr="00580A7B">
        <w:rPr>
          <w:b w:val="0"/>
        </w:rPr>
        <w:t>total percentage</w:t>
      </w:r>
      <w:r>
        <w:rPr>
          <w:b w:val="0"/>
        </w:rPr>
        <w:t xml:space="preserve"> (i.e.</w:t>
      </w:r>
      <w:r w:rsidR="00973551">
        <w:rPr>
          <w:b w:val="0"/>
        </w:rPr>
        <w:t>,</w:t>
      </w:r>
      <w:r>
        <w:rPr>
          <w:b w:val="0"/>
        </w:rPr>
        <w:t xml:space="preserve"> Employment Rate = 1 – Unemployment Rate)</w:t>
      </w:r>
      <w:r w:rsidRPr="00580A7B">
        <w:rPr>
          <w:b w:val="0"/>
        </w:rPr>
        <w:t>. Unlike Floor Space</w:t>
      </w:r>
      <w:r>
        <w:rPr>
          <w:b w:val="0"/>
        </w:rPr>
        <w:t>,</w:t>
      </w:r>
      <w:r w:rsidRPr="00580A7B">
        <w:rPr>
          <w:b w:val="0"/>
        </w:rPr>
        <w:t xml:space="preserve"> it is not calculated by building economic categories (building types)</w:t>
      </w:r>
      <w:r>
        <w:rPr>
          <w:b w:val="0"/>
        </w:rPr>
        <w:t>. H</w:t>
      </w:r>
      <w:r w:rsidRPr="00580A7B">
        <w:rPr>
          <w:b w:val="0"/>
        </w:rPr>
        <w:t>owever</w:t>
      </w:r>
      <w:r>
        <w:rPr>
          <w:b w:val="0"/>
        </w:rPr>
        <w:t>,</w:t>
      </w:r>
      <w:r w:rsidRPr="00580A7B">
        <w:rPr>
          <w:b w:val="0"/>
        </w:rPr>
        <w:t xml:space="preserve"> </w:t>
      </w:r>
      <w:r>
        <w:rPr>
          <w:b w:val="0"/>
        </w:rPr>
        <w:t xml:space="preserve">the long-term commercial </w:t>
      </w:r>
      <w:r w:rsidRPr="00580A7B">
        <w:rPr>
          <w:b w:val="0"/>
        </w:rPr>
        <w:t xml:space="preserve">model does account for the fact that the </w:t>
      </w:r>
      <w:r>
        <w:rPr>
          <w:b w:val="0"/>
        </w:rPr>
        <w:t xml:space="preserve">employment rate </w:t>
      </w:r>
      <w:r w:rsidR="007145AB">
        <w:rPr>
          <w:b w:val="0"/>
        </w:rPr>
        <w:t xml:space="preserve">positively impacts activity in the </w:t>
      </w:r>
      <w:r>
        <w:rPr>
          <w:b w:val="0"/>
        </w:rPr>
        <w:t xml:space="preserve">commercial </w:t>
      </w:r>
      <w:r w:rsidR="00A11A90">
        <w:rPr>
          <w:b w:val="0"/>
        </w:rPr>
        <w:t>segment</w:t>
      </w:r>
      <w:r w:rsidRPr="00580A7B">
        <w:rPr>
          <w:b w:val="0"/>
        </w:rPr>
        <w:t>.</w:t>
      </w:r>
      <w:r w:rsidR="00616255">
        <w:rPr>
          <w:b w:val="0"/>
        </w:rPr>
        <w:t xml:space="preserve"> </w:t>
      </w:r>
      <w:r w:rsidR="00580A7B" w:rsidRPr="00580A7B">
        <w:rPr>
          <w:b w:val="0"/>
        </w:rPr>
        <w:t xml:space="preserve"> </w:t>
      </w:r>
    </w:p>
    <w:p w14:paraId="0EB94CD1" w14:textId="77777777" w:rsidR="0025745A" w:rsidRPr="00AB4E62" w:rsidRDefault="0025745A" w:rsidP="00AB4E62">
      <w:pPr>
        <w:spacing w:line="360" w:lineRule="auto"/>
        <w:jc w:val="left"/>
        <w:rPr>
          <w:b w:val="0"/>
        </w:rPr>
      </w:pPr>
    </w:p>
    <w:p w14:paraId="692DDE57" w14:textId="77777777" w:rsidR="00815481" w:rsidRDefault="00815481">
      <w:pPr>
        <w:spacing w:after="200" w:line="276" w:lineRule="auto"/>
        <w:jc w:val="left"/>
        <w:rPr>
          <w:rFonts w:eastAsiaTheme="majorEastAsia"/>
          <w:bCs/>
          <w:sz w:val="28"/>
          <w:szCs w:val="28"/>
        </w:rPr>
      </w:pPr>
      <w:bookmarkStart w:id="495" w:name="_Toc347120460"/>
      <w:r>
        <w:rPr>
          <w:b w:val="0"/>
        </w:rPr>
        <w:br w:type="page"/>
      </w:r>
    </w:p>
    <w:p w14:paraId="75C4B6D4" w14:textId="13060656" w:rsidR="0025745A" w:rsidRPr="00AB4E62" w:rsidRDefault="004056A0" w:rsidP="0025745A">
      <w:pPr>
        <w:pStyle w:val="Heading1"/>
        <w:jc w:val="left"/>
        <w:rPr>
          <w:rFonts w:ascii="Arial" w:hAnsi="Arial" w:cs="Arial"/>
          <w:b/>
          <w:color w:val="auto"/>
        </w:rPr>
      </w:pPr>
      <w:bookmarkStart w:id="496" w:name="_Toc188257176"/>
      <w:bookmarkStart w:id="497" w:name="_Toc188257391"/>
      <w:bookmarkStart w:id="498" w:name="_Toc188257615"/>
      <w:bookmarkStart w:id="499" w:name="_Toc189162624"/>
      <w:r>
        <w:rPr>
          <w:rFonts w:ascii="Arial" w:hAnsi="Arial" w:cs="Arial"/>
          <w:b/>
          <w:color w:val="auto"/>
        </w:rPr>
        <w:lastRenderedPageBreak/>
        <w:t>9</w:t>
      </w:r>
      <w:r w:rsidR="0025745A" w:rsidRPr="00AB4E62">
        <w:rPr>
          <w:rFonts w:ascii="Arial" w:hAnsi="Arial" w:cs="Arial"/>
          <w:b/>
          <w:color w:val="auto"/>
        </w:rPr>
        <w:t>.3</w:t>
      </w:r>
      <w:r w:rsidR="0025745A" w:rsidRPr="00AB4E62">
        <w:rPr>
          <w:rFonts w:ascii="Arial" w:hAnsi="Arial" w:cs="Arial"/>
          <w:b/>
          <w:color w:val="auto"/>
        </w:rPr>
        <w:tab/>
        <w:t>FUEL PRICE ASSUMPTIONS</w:t>
      </w:r>
      <w:bookmarkEnd w:id="495"/>
      <w:bookmarkEnd w:id="496"/>
      <w:bookmarkEnd w:id="497"/>
      <w:bookmarkEnd w:id="498"/>
      <w:bookmarkEnd w:id="499"/>
    </w:p>
    <w:p w14:paraId="16A6D91B" w14:textId="77777777" w:rsidR="0025745A" w:rsidRPr="003A3426" w:rsidRDefault="0025745A" w:rsidP="0025745A">
      <w:pPr>
        <w:jc w:val="left"/>
      </w:pPr>
    </w:p>
    <w:p w14:paraId="19E39E7A" w14:textId="2119C376" w:rsidR="0025745A" w:rsidRPr="00F965FB" w:rsidRDefault="00330771" w:rsidP="00F965FB">
      <w:pPr>
        <w:jc w:val="left"/>
      </w:pPr>
      <w:bookmarkStart w:id="500" w:name="_Toc347120461"/>
      <w:r>
        <w:t>9</w:t>
      </w:r>
      <w:r w:rsidR="0025745A" w:rsidRPr="00AB4E62">
        <w:t>.3.1</w:t>
      </w:r>
      <w:r w:rsidR="0025745A" w:rsidRPr="00AB4E62">
        <w:tab/>
        <w:t xml:space="preserve">Forecasts by Fuel Type: Electricity </w:t>
      </w:r>
      <w:r w:rsidR="00CC3908">
        <w:t xml:space="preserve">and </w:t>
      </w:r>
      <w:r w:rsidR="0025745A" w:rsidRPr="00AB4E62">
        <w:t>Natural Gas</w:t>
      </w:r>
      <w:bookmarkEnd w:id="500"/>
    </w:p>
    <w:p w14:paraId="4C43749A" w14:textId="77777777" w:rsidR="00AB4E62" w:rsidRDefault="00AB4E62" w:rsidP="0025745A">
      <w:pPr>
        <w:pStyle w:val="BodyText"/>
      </w:pPr>
    </w:p>
    <w:p w14:paraId="52DD2052" w14:textId="6E434598" w:rsidR="0025745A" w:rsidRPr="00AB4E62" w:rsidRDefault="0025745A" w:rsidP="001D5A3B">
      <w:pPr>
        <w:pStyle w:val="BodyText"/>
        <w:spacing w:after="0" w:line="360" w:lineRule="auto"/>
        <w:jc w:val="both"/>
        <w:rPr>
          <w:b w:val="0"/>
        </w:rPr>
      </w:pPr>
      <w:r w:rsidRPr="00AB4E62">
        <w:rPr>
          <w:b w:val="0"/>
        </w:rPr>
        <w:t xml:space="preserve">Forecasts of retail fuel prices </w:t>
      </w:r>
      <w:r w:rsidR="005D1EC2">
        <w:rPr>
          <w:b w:val="0"/>
        </w:rPr>
        <w:t>a</w:t>
      </w:r>
      <w:r w:rsidR="005D1EC2" w:rsidRPr="00AB4E62">
        <w:rPr>
          <w:b w:val="0"/>
        </w:rPr>
        <w:t xml:space="preserve">re </w:t>
      </w:r>
      <w:r w:rsidRPr="00AB4E62">
        <w:rPr>
          <w:b w:val="0"/>
        </w:rPr>
        <w:t>required for the energy models of three customer classes: residential, commercial, and industrial.</w:t>
      </w:r>
    </w:p>
    <w:p w14:paraId="082DC49B" w14:textId="77777777" w:rsidR="0025745A" w:rsidRPr="00AB4E62" w:rsidRDefault="0025745A" w:rsidP="001D5A3B">
      <w:pPr>
        <w:pStyle w:val="BodyText"/>
        <w:spacing w:after="0" w:line="276" w:lineRule="auto"/>
        <w:jc w:val="both"/>
        <w:rPr>
          <w:b w:val="0"/>
        </w:rPr>
      </w:pPr>
    </w:p>
    <w:p w14:paraId="5EDC277A" w14:textId="68A67004" w:rsidR="0025745A" w:rsidRDefault="00CC3908" w:rsidP="001D5A3B">
      <w:pPr>
        <w:pStyle w:val="BodyText"/>
        <w:spacing w:after="0" w:line="360" w:lineRule="auto"/>
        <w:jc w:val="both"/>
        <w:rPr>
          <w:b w:val="0"/>
        </w:rPr>
      </w:pPr>
      <w:r w:rsidRPr="00AB4E62">
        <w:rPr>
          <w:b w:val="0"/>
        </w:rPr>
        <w:t xml:space="preserve">The long-term residential, commercial, and industrial energy models require forecasted fuel prices as an exogenous input. The electricity price forecasts are based on results of financial planning models produced by </w:t>
      </w:r>
      <w:r>
        <w:rPr>
          <w:b w:val="0"/>
        </w:rPr>
        <w:t xml:space="preserve">Georgia Power’s </w:t>
      </w:r>
      <w:r w:rsidRPr="00AB4E62">
        <w:rPr>
          <w:b w:val="0"/>
        </w:rPr>
        <w:t>Financial Planning and Analysis</w:t>
      </w:r>
      <w:r>
        <w:rPr>
          <w:b w:val="0"/>
        </w:rPr>
        <w:t xml:space="preserve"> group</w:t>
      </w:r>
      <w:r w:rsidRPr="00AB4E62">
        <w:rPr>
          <w:b w:val="0"/>
        </w:rPr>
        <w:t>. The</w:t>
      </w:r>
      <w:r>
        <w:rPr>
          <w:b w:val="0"/>
        </w:rPr>
        <w:t>se</w:t>
      </w:r>
      <w:r w:rsidRPr="00AB4E62">
        <w:rPr>
          <w:b w:val="0"/>
        </w:rPr>
        <w:t xml:space="preserve"> models produce electricity price forecasts assuming a specific company construction plan, the financia</w:t>
      </w:r>
      <w:r>
        <w:rPr>
          <w:b w:val="0"/>
        </w:rPr>
        <w:t>l needs of Georgia Power</w:t>
      </w:r>
      <w:r w:rsidRPr="00AB4E62">
        <w:rPr>
          <w:b w:val="0"/>
        </w:rPr>
        <w:t>, and economic conditions</w:t>
      </w:r>
      <w:r w:rsidR="0072196A">
        <w:rPr>
          <w:b w:val="0"/>
        </w:rPr>
        <w:t xml:space="preserve"> including inflation</w:t>
      </w:r>
      <w:r w:rsidRPr="00AB4E62">
        <w:rPr>
          <w:b w:val="0"/>
        </w:rPr>
        <w:t xml:space="preserve">. The electricity price forecasts were developed in the spring of </w:t>
      </w:r>
      <w:r w:rsidR="000B10E3" w:rsidRPr="00AB4E62">
        <w:rPr>
          <w:b w:val="0"/>
        </w:rPr>
        <w:t>20</w:t>
      </w:r>
      <w:r w:rsidR="000B10E3">
        <w:rPr>
          <w:b w:val="0"/>
        </w:rPr>
        <w:t>24</w:t>
      </w:r>
      <w:r w:rsidRPr="00AB4E62">
        <w:rPr>
          <w:b w:val="0"/>
        </w:rPr>
        <w:t>. The natural gas price</w:t>
      </w:r>
      <w:r w:rsidR="00170AA6">
        <w:rPr>
          <w:b w:val="0"/>
        </w:rPr>
        <w:t xml:space="preserve"> forecast</w:t>
      </w:r>
      <w:r w:rsidRPr="00AB4E62">
        <w:rPr>
          <w:b w:val="0"/>
        </w:rPr>
        <w:t xml:space="preserve">s are developed </w:t>
      </w:r>
      <w:r w:rsidR="00AC45C0">
        <w:rPr>
          <w:b w:val="0"/>
        </w:rPr>
        <w:t xml:space="preserve">by </w:t>
      </w:r>
      <w:r w:rsidR="00EC5A3F">
        <w:rPr>
          <w:b w:val="0"/>
        </w:rPr>
        <w:t xml:space="preserve">the </w:t>
      </w:r>
      <w:r w:rsidR="00EC5A3F" w:rsidRPr="00AB4E62">
        <w:rPr>
          <w:b w:val="0"/>
        </w:rPr>
        <w:t>SCS Fuel Services</w:t>
      </w:r>
      <w:r w:rsidR="00EC5A3F">
        <w:rPr>
          <w:b w:val="0"/>
        </w:rPr>
        <w:t xml:space="preserve"> and SCS Resource Planning groups </w:t>
      </w:r>
      <w:r>
        <w:rPr>
          <w:b w:val="0"/>
        </w:rPr>
        <w:t>based on commodity price projections from</w:t>
      </w:r>
      <w:r w:rsidR="00973551">
        <w:rPr>
          <w:b w:val="0"/>
        </w:rPr>
        <w:t xml:space="preserve"> </w:t>
      </w:r>
      <w:r w:rsidR="00EC5A3F">
        <w:rPr>
          <w:b w:val="0"/>
        </w:rPr>
        <w:t xml:space="preserve">EIA’s latest </w:t>
      </w:r>
      <w:r w:rsidR="00CA1C0E">
        <w:rPr>
          <w:b w:val="0"/>
        </w:rPr>
        <w:t xml:space="preserve">(2023) </w:t>
      </w:r>
      <w:r w:rsidR="00973551">
        <w:rPr>
          <w:b w:val="0"/>
        </w:rPr>
        <w:t>AEO</w:t>
      </w:r>
      <w:r w:rsidR="008C3D20">
        <w:rPr>
          <w:b w:val="0"/>
        </w:rPr>
        <w:t xml:space="preserve"> and NYMEX prices</w:t>
      </w:r>
      <w:r w:rsidRPr="00AB4E62">
        <w:rPr>
          <w:b w:val="0"/>
        </w:rPr>
        <w:t>. The long-term forecasting models incorporate these retail fuel prices when modeling the fuel choices and efficiency decisions of consumers and decision-makers. Electricity</w:t>
      </w:r>
      <w:r>
        <w:rPr>
          <w:b w:val="0"/>
        </w:rPr>
        <w:t xml:space="preserve"> and</w:t>
      </w:r>
      <w:r w:rsidRPr="00AB4E62">
        <w:rPr>
          <w:b w:val="0"/>
        </w:rPr>
        <w:t xml:space="preserve"> natural gas </w:t>
      </w:r>
      <w:r>
        <w:rPr>
          <w:b w:val="0"/>
        </w:rPr>
        <w:t xml:space="preserve">retail </w:t>
      </w:r>
      <w:r w:rsidRPr="00AB4E62">
        <w:rPr>
          <w:b w:val="0"/>
        </w:rPr>
        <w:t xml:space="preserve">price projections for the residential, commercial, and industrial classes are presented in Attachment </w:t>
      </w:r>
      <w:r w:rsidR="001D5A3B">
        <w:rPr>
          <w:b w:val="0"/>
        </w:rPr>
        <w:t>9</w:t>
      </w:r>
      <w:r w:rsidRPr="00AB4E62">
        <w:rPr>
          <w:b w:val="0"/>
        </w:rPr>
        <w:t>.</w:t>
      </w:r>
      <w:r w:rsidR="00756F53">
        <w:rPr>
          <w:b w:val="0"/>
        </w:rPr>
        <w:t>3</w:t>
      </w:r>
      <w:r w:rsidRPr="00AB4E62">
        <w:rPr>
          <w:b w:val="0"/>
        </w:rPr>
        <w:t>-</w:t>
      </w:r>
      <w:r>
        <w:rPr>
          <w:b w:val="0"/>
        </w:rPr>
        <w:t>1</w:t>
      </w:r>
      <w:r w:rsidRPr="00AB4E62">
        <w:rPr>
          <w:b w:val="0"/>
        </w:rPr>
        <w:t>.</w:t>
      </w:r>
    </w:p>
    <w:p w14:paraId="7E41EB6C" w14:textId="77777777" w:rsidR="00337849" w:rsidRDefault="00337849" w:rsidP="001D5A3B">
      <w:pPr>
        <w:pStyle w:val="BodyText"/>
        <w:spacing w:after="0" w:line="360" w:lineRule="auto"/>
        <w:jc w:val="both"/>
        <w:rPr>
          <w:b w:val="0"/>
        </w:rPr>
      </w:pPr>
    </w:p>
    <w:p w14:paraId="2828B277" w14:textId="77777777" w:rsidR="00CA727C" w:rsidRDefault="00CA727C">
      <w:pPr>
        <w:spacing w:after="200" w:line="276" w:lineRule="auto"/>
        <w:jc w:val="left"/>
      </w:pPr>
      <w:r>
        <w:br w:type="page"/>
      </w:r>
    </w:p>
    <w:p w14:paraId="4AA47B22" w14:textId="14387C0C" w:rsidR="00382D57" w:rsidRDefault="00382D57" w:rsidP="00382D57">
      <w:pPr>
        <w:jc w:val="left"/>
      </w:pPr>
      <w:r>
        <w:lastRenderedPageBreak/>
        <w:t>Attachment 9.</w:t>
      </w:r>
      <w:r w:rsidR="00756F53">
        <w:t>3</w:t>
      </w:r>
      <w:r>
        <w:t xml:space="preserve">-1: Budget </w:t>
      </w:r>
      <w:r w:rsidR="00CA727C">
        <w:t xml:space="preserve">2025 </w:t>
      </w:r>
      <w:r>
        <w:t>Retail Energy Prices</w:t>
      </w:r>
      <w:r w:rsidR="00CA727C">
        <w:t xml:space="preserve"> by Class</w:t>
      </w:r>
    </w:p>
    <w:p w14:paraId="231491C2" w14:textId="77777777" w:rsidR="00382D57" w:rsidRDefault="00382D57" w:rsidP="00382D57">
      <w:pPr>
        <w:jc w:val="left"/>
        <w:rPr>
          <w:b w:val="0"/>
        </w:rPr>
      </w:pPr>
    </w:p>
    <w:p w14:paraId="6728811D" w14:textId="77777777" w:rsidR="00382D57" w:rsidRDefault="00382D57" w:rsidP="00382D57">
      <w:pPr>
        <w:jc w:val="left"/>
        <w:rPr>
          <w:b w:val="0"/>
        </w:rPr>
      </w:pPr>
    </w:p>
    <w:p w14:paraId="17EE13DF" w14:textId="45A3292A" w:rsidR="00382D57" w:rsidRDefault="0085784D" w:rsidP="00382D57">
      <w:pPr>
        <w:rPr>
          <w:b w:val="0"/>
          <w:noProof/>
        </w:rPr>
      </w:pPr>
      <w:r w:rsidRPr="0085784D">
        <w:rPr>
          <w:b w:val="0"/>
          <w:noProof/>
        </w:rPr>
        <w:drawing>
          <wp:inline distT="0" distB="0" distL="0" distR="0" wp14:anchorId="24FB2928" wp14:editId="65E72FD5">
            <wp:extent cx="5829300" cy="4525645"/>
            <wp:effectExtent l="0" t="0" r="0" b="8255"/>
            <wp:docPr id="1266621803"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5829300" cy="4525645"/>
                    </a:xfrm>
                    <a:prstGeom prst="rect">
                      <a:avLst/>
                    </a:prstGeom>
                    <a:noFill/>
                    <a:ln>
                      <a:noFill/>
                    </a:ln>
                  </pic:spPr>
                </pic:pic>
              </a:graphicData>
            </a:graphic>
          </wp:inline>
        </w:drawing>
      </w:r>
    </w:p>
    <w:p w14:paraId="49562309" w14:textId="77777777" w:rsidR="00382D57" w:rsidRPr="00AB4E62" w:rsidRDefault="00382D57" w:rsidP="001D5A3B">
      <w:pPr>
        <w:pStyle w:val="BodyText"/>
        <w:spacing w:after="0" w:line="360" w:lineRule="auto"/>
        <w:jc w:val="both"/>
        <w:rPr>
          <w:b w:val="0"/>
        </w:rPr>
      </w:pPr>
    </w:p>
    <w:p w14:paraId="51EFF8A3" w14:textId="77777777" w:rsidR="00CC3908" w:rsidRPr="00AB4E62" w:rsidRDefault="00CC3908" w:rsidP="001D5A3B">
      <w:pPr>
        <w:pStyle w:val="BodyText"/>
        <w:spacing w:after="0" w:line="276" w:lineRule="auto"/>
        <w:jc w:val="left"/>
        <w:rPr>
          <w:b w:val="0"/>
        </w:rPr>
      </w:pPr>
    </w:p>
    <w:p w14:paraId="347AE862" w14:textId="2918D64B" w:rsidR="0025745A" w:rsidRPr="00AB4E62" w:rsidRDefault="00330771" w:rsidP="00F965FB">
      <w:pPr>
        <w:jc w:val="left"/>
        <w:rPr>
          <w:b w:val="0"/>
        </w:rPr>
      </w:pPr>
      <w:bookmarkStart w:id="501" w:name="_Toc347120462"/>
      <w:r>
        <w:t>9</w:t>
      </w:r>
      <w:r w:rsidR="0025745A" w:rsidRPr="00AB4E62">
        <w:t>.3.2</w:t>
      </w:r>
      <w:r w:rsidR="0025745A" w:rsidRPr="00AB4E62">
        <w:tab/>
        <w:t>Substitution of Electricity with Competing Fuels</w:t>
      </w:r>
      <w:bookmarkEnd w:id="501"/>
    </w:p>
    <w:p w14:paraId="6A31BBEF" w14:textId="77777777" w:rsidR="00AB4E62" w:rsidRDefault="00AB4E62" w:rsidP="0025745A">
      <w:pPr>
        <w:pStyle w:val="BodyText"/>
      </w:pPr>
    </w:p>
    <w:p w14:paraId="2710EAA9" w14:textId="7511FF8A" w:rsidR="00CC3908" w:rsidRPr="00D30CCD" w:rsidRDefault="00CC3908" w:rsidP="001D5A3B">
      <w:pPr>
        <w:spacing w:line="360" w:lineRule="auto"/>
        <w:jc w:val="both"/>
        <w:rPr>
          <w:b w:val="0"/>
        </w:rPr>
      </w:pPr>
      <w:r w:rsidRPr="00D30CCD">
        <w:rPr>
          <w:b w:val="0"/>
        </w:rPr>
        <w:t xml:space="preserve">Fuel choice is an important factor to consider in the development of the forecast. Each customer responds, in various ways, to the price of electricity relative to the price of alternative fuels. The responsiveness of the customer, or decision-maker, depends on the customer’s </w:t>
      </w:r>
      <w:r w:rsidR="00781B2D">
        <w:rPr>
          <w:b w:val="0"/>
        </w:rPr>
        <w:t>preference</w:t>
      </w:r>
      <w:r w:rsidR="00781B2D" w:rsidRPr="00D30CCD">
        <w:rPr>
          <w:b w:val="0"/>
        </w:rPr>
        <w:t xml:space="preserve"> </w:t>
      </w:r>
      <w:r w:rsidRPr="00D30CCD">
        <w:rPr>
          <w:b w:val="0"/>
        </w:rPr>
        <w:t>and ability to change. These factors are recognized and are incorporated in</w:t>
      </w:r>
      <w:r>
        <w:rPr>
          <w:b w:val="0"/>
        </w:rPr>
        <w:t>to</w:t>
      </w:r>
      <w:r w:rsidRPr="00D30CCD">
        <w:rPr>
          <w:b w:val="0"/>
        </w:rPr>
        <w:t xml:space="preserve"> the Georgia Power forecast.</w:t>
      </w:r>
      <w:r w:rsidR="00616255">
        <w:rPr>
          <w:b w:val="0"/>
        </w:rPr>
        <w:t xml:space="preserve"> </w:t>
      </w:r>
    </w:p>
    <w:p w14:paraId="4F072CE9" w14:textId="77777777" w:rsidR="00CC3908" w:rsidRPr="004474FB" w:rsidRDefault="00CC3908" w:rsidP="001D5A3B">
      <w:pPr>
        <w:spacing w:line="360" w:lineRule="auto"/>
        <w:jc w:val="both"/>
        <w:rPr>
          <w:b w:val="0"/>
        </w:rPr>
      </w:pPr>
    </w:p>
    <w:p w14:paraId="6152C67A" w14:textId="5BABEC6F" w:rsidR="00CC3908" w:rsidRPr="00D30CCD" w:rsidRDefault="00CC3908" w:rsidP="001D5A3B">
      <w:pPr>
        <w:spacing w:line="360" w:lineRule="auto"/>
        <w:jc w:val="both"/>
        <w:rPr>
          <w:b w:val="0"/>
        </w:rPr>
      </w:pPr>
      <w:r w:rsidRPr="00D30CCD">
        <w:rPr>
          <w:b w:val="0"/>
        </w:rPr>
        <w:t xml:space="preserve">The residential, commercial, and industrial long-term energy models </w:t>
      </w:r>
      <w:r>
        <w:rPr>
          <w:b w:val="0"/>
        </w:rPr>
        <w:t xml:space="preserve">all </w:t>
      </w:r>
      <w:r w:rsidRPr="00D30CCD">
        <w:rPr>
          <w:b w:val="0"/>
        </w:rPr>
        <w:t xml:space="preserve">use the same modeling and conceptual framework. </w:t>
      </w:r>
      <w:r>
        <w:rPr>
          <w:b w:val="0"/>
        </w:rPr>
        <w:t>Using a logit model, the choice of new technology is determined by evaluating the life cycle of each technology for a given end-use. The life-cycle cost is a function of capital cost plus operating costs and any additional O&amp;M costs discounted for the time value of money.</w:t>
      </w:r>
    </w:p>
    <w:p w14:paraId="3F951C5F" w14:textId="77777777" w:rsidR="00CC3908" w:rsidRPr="00D30CCD" w:rsidRDefault="00CC3908" w:rsidP="001D5A3B">
      <w:pPr>
        <w:spacing w:line="276" w:lineRule="auto"/>
        <w:jc w:val="both"/>
        <w:rPr>
          <w:b w:val="0"/>
        </w:rPr>
      </w:pPr>
    </w:p>
    <w:p w14:paraId="566E517C" w14:textId="1847F702" w:rsidR="00CC3908" w:rsidRDefault="00CC3908" w:rsidP="00CC3908">
      <w:pPr>
        <w:spacing w:after="120" w:line="360" w:lineRule="auto"/>
        <w:jc w:val="both"/>
        <w:rPr>
          <w:b w:val="0"/>
        </w:rPr>
      </w:pPr>
      <w:r w:rsidRPr="00D30CCD">
        <w:rPr>
          <w:b w:val="0"/>
        </w:rPr>
        <w:lastRenderedPageBreak/>
        <w:t>As the prices vary among the alternative fuels (e.g., electricity and gas), the operating cost will also vary and will affect the choices of end-use fuel types made by the consumer. Likewise, as the capital cost of the technologies of alternative fuel choices vary, the choices of technology will also vary. In this manner, the long-term energy models capture the effects of competing fuels in end uses.</w:t>
      </w:r>
    </w:p>
    <w:p w14:paraId="7788FD5F" w14:textId="2790F4B0" w:rsidR="0025745A" w:rsidRPr="004A2E6E" w:rsidRDefault="004056A0" w:rsidP="004474FB">
      <w:pPr>
        <w:pStyle w:val="Heading1"/>
        <w:spacing w:line="360" w:lineRule="auto"/>
        <w:jc w:val="both"/>
      </w:pPr>
      <w:bookmarkStart w:id="502" w:name="_Toc347120463"/>
      <w:bookmarkStart w:id="503" w:name="_Toc188257177"/>
      <w:bookmarkStart w:id="504" w:name="_Toc188257392"/>
      <w:bookmarkStart w:id="505" w:name="_Toc188257616"/>
      <w:bookmarkStart w:id="506" w:name="_Toc189162625"/>
      <w:r>
        <w:rPr>
          <w:rFonts w:ascii="Arial" w:hAnsi="Arial" w:cs="Arial"/>
          <w:b/>
          <w:color w:val="auto"/>
        </w:rPr>
        <w:t>9</w:t>
      </w:r>
      <w:r w:rsidR="0025745A" w:rsidRPr="00AB4E62">
        <w:rPr>
          <w:rFonts w:ascii="Arial" w:hAnsi="Arial" w:cs="Arial"/>
          <w:b/>
          <w:color w:val="auto"/>
        </w:rPr>
        <w:t>.4</w:t>
      </w:r>
      <w:r w:rsidR="0025745A" w:rsidRPr="00AB4E62">
        <w:rPr>
          <w:rFonts w:ascii="Arial" w:hAnsi="Arial" w:cs="Arial"/>
          <w:b/>
          <w:color w:val="auto"/>
        </w:rPr>
        <w:tab/>
        <w:t>FORECAST ADJUSTMENTS</w:t>
      </w:r>
      <w:bookmarkEnd w:id="502"/>
      <w:bookmarkEnd w:id="503"/>
      <w:bookmarkEnd w:id="504"/>
      <w:bookmarkEnd w:id="505"/>
      <w:bookmarkEnd w:id="506"/>
    </w:p>
    <w:p w14:paraId="5D6D11DB" w14:textId="77777777" w:rsidR="0025745A" w:rsidRPr="003A3426" w:rsidRDefault="0025745A" w:rsidP="0025745A"/>
    <w:p w14:paraId="3C52F193" w14:textId="7BF85ABA" w:rsidR="0025745A" w:rsidRPr="003768C7" w:rsidRDefault="00AC13AD" w:rsidP="00BD281C">
      <w:pPr>
        <w:pStyle w:val="BodyText"/>
        <w:spacing w:line="360" w:lineRule="auto"/>
        <w:jc w:val="both"/>
        <w:rPr>
          <w:b w:val="0"/>
        </w:rPr>
      </w:pPr>
      <w:r w:rsidRPr="00AB4E62">
        <w:rPr>
          <w:b w:val="0"/>
        </w:rPr>
        <w:t xml:space="preserve">Demand side strategies and customer actions, and </w:t>
      </w:r>
      <w:r>
        <w:rPr>
          <w:b w:val="0"/>
        </w:rPr>
        <w:t xml:space="preserve">the effects of </w:t>
      </w:r>
      <w:r w:rsidRPr="00AB4E62">
        <w:rPr>
          <w:b w:val="0"/>
        </w:rPr>
        <w:t xml:space="preserve">Time of Use (“TOU”) rates </w:t>
      </w:r>
      <w:r w:rsidR="00781022">
        <w:rPr>
          <w:b w:val="0"/>
        </w:rPr>
        <w:t xml:space="preserve">and </w:t>
      </w:r>
      <w:r w:rsidR="004F026C">
        <w:rPr>
          <w:b w:val="0"/>
        </w:rPr>
        <w:t>Real Time Pricing (“</w:t>
      </w:r>
      <w:r w:rsidR="003670A5">
        <w:rPr>
          <w:b w:val="0"/>
        </w:rPr>
        <w:t>RTP</w:t>
      </w:r>
      <w:r w:rsidR="004F026C">
        <w:rPr>
          <w:b w:val="0"/>
        </w:rPr>
        <w:t>”)</w:t>
      </w:r>
      <w:r w:rsidR="003670A5">
        <w:rPr>
          <w:b w:val="0"/>
        </w:rPr>
        <w:t xml:space="preserve"> </w:t>
      </w:r>
      <w:r w:rsidRPr="00AB4E62">
        <w:rPr>
          <w:b w:val="0"/>
        </w:rPr>
        <w:t>are captured directly in the forecast</w:t>
      </w:r>
      <w:r w:rsidR="00E96633">
        <w:rPr>
          <w:b w:val="0"/>
        </w:rPr>
        <w:t xml:space="preserve"> since they are in the historical data</w:t>
      </w:r>
      <w:r w:rsidRPr="00AB4E62">
        <w:rPr>
          <w:b w:val="0"/>
        </w:rPr>
        <w:t xml:space="preserve">. </w:t>
      </w:r>
      <w:r w:rsidR="00E96633" w:rsidRPr="00C05140">
        <w:rPr>
          <w:b w:val="0"/>
        </w:rPr>
        <w:t>The impacts of</w:t>
      </w:r>
      <w:r w:rsidRPr="003768C7">
        <w:rPr>
          <w:b w:val="0"/>
        </w:rPr>
        <w:t xml:space="preserve"> </w:t>
      </w:r>
      <w:r w:rsidR="008F01D5">
        <w:rPr>
          <w:b w:val="0"/>
        </w:rPr>
        <w:t>C</w:t>
      </w:r>
      <w:r w:rsidR="002A4943">
        <w:rPr>
          <w:b w:val="0"/>
        </w:rPr>
        <w:t xml:space="preserve">ompany-sponsored </w:t>
      </w:r>
      <w:r w:rsidRPr="003768C7">
        <w:rPr>
          <w:b w:val="0"/>
        </w:rPr>
        <w:t>DSM programs</w:t>
      </w:r>
      <w:r w:rsidR="00E96633" w:rsidRPr="003768C7">
        <w:rPr>
          <w:b w:val="0"/>
        </w:rPr>
        <w:t>, electric vehicles</w:t>
      </w:r>
      <w:r w:rsidR="003768C7">
        <w:rPr>
          <w:b w:val="0"/>
        </w:rPr>
        <w:t>,</w:t>
      </w:r>
      <w:r w:rsidR="00E96633" w:rsidRPr="003768C7">
        <w:rPr>
          <w:b w:val="0"/>
        </w:rPr>
        <w:t xml:space="preserve"> </w:t>
      </w:r>
      <w:r w:rsidR="00BB6DE3">
        <w:rPr>
          <w:b w:val="0"/>
        </w:rPr>
        <w:t>behind-</w:t>
      </w:r>
      <w:r w:rsidR="00B10D68">
        <w:rPr>
          <w:b w:val="0"/>
        </w:rPr>
        <w:t>the</w:t>
      </w:r>
      <w:r w:rsidR="00BB6DE3">
        <w:rPr>
          <w:b w:val="0"/>
        </w:rPr>
        <w:t>-m</w:t>
      </w:r>
      <w:r w:rsidR="00B10D68">
        <w:rPr>
          <w:b w:val="0"/>
        </w:rPr>
        <w:t xml:space="preserve">eter </w:t>
      </w:r>
      <w:r w:rsidR="00E96633" w:rsidRPr="003768C7">
        <w:rPr>
          <w:b w:val="0"/>
        </w:rPr>
        <w:t>solar</w:t>
      </w:r>
      <w:r w:rsidRPr="003768C7">
        <w:rPr>
          <w:b w:val="0"/>
        </w:rPr>
        <w:t xml:space="preserve"> </w:t>
      </w:r>
      <w:r w:rsidR="003768C7">
        <w:rPr>
          <w:b w:val="0"/>
        </w:rPr>
        <w:t xml:space="preserve">and </w:t>
      </w:r>
      <w:r w:rsidR="003768C7" w:rsidRPr="003768C7">
        <w:rPr>
          <w:b w:val="0"/>
        </w:rPr>
        <w:t xml:space="preserve">cogeneration </w:t>
      </w:r>
      <w:r w:rsidRPr="003768C7">
        <w:rPr>
          <w:b w:val="0"/>
        </w:rPr>
        <w:t xml:space="preserve">are captured in the </w:t>
      </w:r>
      <w:r w:rsidR="003768C7">
        <w:rPr>
          <w:b w:val="0"/>
        </w:rPr>
        <w:t xml:space="preserve">energy </w:t>
      </w:r>
      <w:r w:rsidRPr="003768C7">
        <w:rPr>
          <w:b w:val="0"/>
        </w:rPr>
        <w:t>forecast through adjustment</w:t>
      </w:r>
      <w:r w:rsidR="00B959FE" w:rsidRPr="003768C7">
        <w:rPr>
          <w:b w:val="0"/>
        </w:rPr>
        <w:t xml:space="preserve">s outside of the </w:t>
      </w:r>
      <w:r w:rsidR="00C918CC" w:rsidRPr="003768C7">
        <w:rPr>
          <w:b w:val="0"/>
        </w:rPr>
        <w:t xml:space="preserve">forecast </w:t>
      </w:r>
      <w:r w:rsidR="00B959FE" w:rsidRPr="003768C7">
        <w:rPr>
          <w:b w:val="0"/>
        </w:rPr>
        <w:t>models</w:t>
      </w:r>
      <w:r w:rsidRPr="003768C7">
        <w:rPr>
          <w:b w:val="0"/>
        </w:rPr>
        <w:t>.</w:t>
      </w:r>
      <w:r w:rsidR="0025745A" w:rsidRPr="003768C7">
        <w:rPr>
          <w:b w:val="0"/>
        </w:rPr>
        <w:t xml:space="preserve"> </w:t>
      </w:r>
      <w:r w:rsidR="003768C7">
        <w:rPr>
          <w:b w:val="0"/>
        </w:rPr>
        <w:t xml:space="preserve">External adjustments to the peak model include </w:t>
      </w:r>
      <w:r w:rsidR="008F01D5">
        <w:rPr>
          <w:b w:val="0"/>
        </w:rPr>
        <w:t>C</w:t>
      </w:r>
      <w:r w:rsidR="002A4943">
        <w:rPr>
          <w:b w:val="0"/>
        </w:rPr>
        <w:t xml:space="preserve">ompany-sponsored </w:t>
      </w:r>
      <w:r w:rsidR="003768C7">
        <w:rPr>
          <w:b w:val="0"/>
        </w:rPr>
        <w:t xml:space="preserve">DSM programs and cogeneration. Electric Vehicles and </w:t>
      </w:r>
      <w:r w:rsidR="00472CD3">
        <w:rPr>
          <w:b w:val="0"/>
        </w:rPr>
        <w:t>behind-the-meter</w:t>
      </w:r>
      <w:r w:rsidR="003768C7">
        <w:rPr>
          <w:b w:val="0"/>
        </w:rPr>
        <w:t xml:space="preserve"> solar are embedded in the peak forecast using load shapes</w:t>
      </w:r>
      <w:r w:rsidR="00636888">
        <w:rPr>
          <w:b w:val="0"/>
        </w:rPr>
        <w:t xml:space="preserve">, so an external adjustment is not needed. The </w:t>
      </w:r>
      <w:r w:rsidR="00417519">
        <w:rPr>
          <w:b w:val="0"/>
        </w:rPr>
        <w:t xml:space="preserve">annual </w:t>
      </w:r>
      <w:r w:rsidR="00636888">
        <w:rPr>
          <w:b w:val="0"/>
        </w:rPr>
        <w:t xml:space="preserve">external adjustments to the energy and peak forecasts are included in Attachments </w:t>
      </w:r>
      <w:r w:rsidR="001D5A3B">
        <w:rPr>
          <w:b w:val="0"/>
        </w:rPr>
        <w:t>9</w:t>
      </w:r>
      <w:r w:rsidR="00636888">
        <w:rPr>
          <w:b w:val="0"/>
        </w:rPr>
        <w:t>.</w:t>
      </w:r>
      <w:r w:rsidR="00BD3EA3">
        <w:rPr>
          <w:b w:val="0"/>
        </w:rPr>
        <w:t>4</w:t>
      </w:r>
      <w:r w:rsidR="00636888">
        <w:rPr>
          <w:b w:val="0"/>
        </w:rPr>
        <w:t>-</w:t>
      </w:r>
      <w:r w:rsidR="00BD3EA3">
        <w:rPr>
          <w:b w:val="0"/>
        </w:rPr>
        <w:t>1</w:t>
      </w:r>
      <w:r w:rsidR="00636888">
        <w:rPr>
          <w:b w:val="0"/>
        </w:rPr>
        <w:t xml:space="preserve"> </w:t>
      </w:r>
      <w:r w:rsidR="00A2302A">
        <w:rPr>
          <w:b w:val="0"/>
        </w:rPr>
        <w:t>through</w:t>
      </w:r>
      <w:r w:rsidR="00636888">
        <w:rPr>
          <w:b w:val="0"/>
        </w:rPr>
        <w:t xml:space="preserve"> </w:t>
      </w:r>
      <w:r w:rsidR="001D5A3B">
        <w:rPr>
          <w:b w:val="0"/>
        </w:rPr>
        <w:t>9</w:t>
      </w:r>
      <w:r w:rsidR="00636888">
        <w:rPr>
          <w:b w:val="0"/>
        </w:rPr>
        <w:t>.</w:t>
      </w:r>
      <w:r w:rsidR="00D176BB">
        <w:rPr>
          <w:b w:val="0"/>
        </w:rPr>
        <w:t>4</w:t>
      </w:r>
      <w:r w:rsidR="00636888">
        <w:rPr>
          <w:b w:val="0"/>
        </w:rPr>
        <w:t>-</w:t>
      </w:r>
      <w:r w:rsidR="00D176BB">
        <w:rPr>
          <w:b w:val="0"/>
        </w:rPr>
        <w:t>3</w:t>
      </w:r>
      <w:r w:rsidR="00636888">
        <w:rPr>
          <w:b w:val="0"/>
        </w:rPr>
        <w:t xml:space="preserve">. </w:t>
      </w:r>
      <w:r w:rsidR="00AA433B">
        <w:rPr>
          <w:b w:val="0"/>
        </w:rPr>
        <w:t xml:space="preserve">In these tables, </w:t>
      </w:r>
      <w:r w:rsidR="00C559B3">
        <w:rPr>
          <w:b w:val="0"/>
        </w:rPr>
        <w:t xml:space="preserve">adjustments for </w:t>
      </w:r>
      <w:r w:rsidR="00AA433B">
        <w:rPr>
          <w:b w:val="0"/>
        </w:rPr>
        <w:t xml:space="preserve">electric vehicles </w:t>
      </w:r>
      <w:r w:rsidR="008173C7">
        <w:rPr>
          <w:b w:val="0"/>
        </w:rPr>
        <w:t xml:space="preserve">are positive since they </w:t>
      </w:r>
      <w:r w:rsidR="00E90A56">
        <w:rPr>
          <w:b w:val="0"/>
        </w:rPr>
        <w:t xml:space="preserve">add to </w:t>
      </w:r>
      <w:r w:rsidR="005E4B6E">
        <w:rPr>
          <w:b w:val="0"/>
        </w:rPr>
        <w:t>energy and peak demand</w:t>
      </w:r>
      <w:r w:rsidR="00E90A56">
        <w:rPr>
          <w:b w:val="0"/>
        </w:rPr>
        <w:t xml:space="preserve">. </w:t>
      </w:r>
      <w:r w:rsidR="009C22BB">
        <w:rPr>
          <w:b w:val="0"/>
        </w:rPr>
        <w:t xml:space="preserve">Since </w:t>
      </w:r>
      <w:r w:rsidR="00895CFA">
        <w:rPr>
          <w:b w:val="0"/>
        </w:rPr>
        <w:t xml:space="preserve">DSM, </w:t>
      </w:r>
      <w:r w:rsidR="00472CD3">
        <w:rPr>
          <w:b w:val="0"/>
        </w:rPr>
        <w:t>behind-the-meter</w:t>
      </w:r>
      <w:r w:rsidR="00E90A56">
        <w:rPr>
          <w:b w:val="0"/>
        </w:rPr>
        <w:t xml:space="preserve"> solar</w:t>
      </w:r>
      <w:r w:rsidR="00895CFA">
        <w:rPr>
          <w:b w:val="0"/>
        </w:rPr>
        <w:t xml:space="preserve"> and</w:t>
      </w:r>
      <w:r w:rsidR="00E90A56">
        <w:rPr>
          <w:b w:val="0"/>
        </w:rPr>
        <w:t xml:space="preserve"> cogeneration </w:t>
      </w:r>
      <w:r w:rsidR="005E4B6E">
        <w:rPr>
          <w:b w:val="0"/>
        </w:rPr>
        <w:t xml:space="preserve">reduce energy and </w:t>
      </w:r>
      <w:r w:rsidR="006C7476">
        <w:rPr>
          <w:b w:val="0"/>
        </w:rPr>
        <w:t>peaks</w:t>
      </w:r>
      <w:r w:rsidR="009C22BB">
        <w:rPr>
          <w:b w:val="0"/>
        </w:rPr>
        <w:t xml:space="preserve">, these adjustments </w:t>
      </w:r>
      <w:r w:rsidR="006C7476">
        <w:rPr>
          <w:b w:val="0"/>
        </w:rPr>
        <w:t>are presented as negative numbers,</w:t>
      </w:r>
      <w:r w:rsidR="00616255">
        <w:rPr>
          <w:b w:val="0"/>
        </w:rPr>
        <w:t xml:space="preserve"> </w:t>
      </w:r>
      <w:r w:rsidR="003768C7">
        <w:rPr>
          <w:b w:val="0"/>
        </w:rPr>
        <w:t xml:space="preserve"> </w:t>
      </w:r>
    </w:p>
    <w:p w14:paraId="0B28BE3A" w14:textId="1EF33B63" w:rsidR="0025745A" w:rsidRPr="00AB4E62" w:rsidRDefault="00330771" w:rsidP="0025745A">
      <w:pPr>
        <w:pStyle w:val="Heading2"/>
        <w:jc w:val="left"/>
        <w:rPr>
          <w:rFonts w:ascii="Arial" w:hAnsi="Arial" w:cs="Arial"/>
          <w:b/>
          <w:color w:val="auto"/>
          <w:sz w:val="20"/>
          <w:szCs w:val="20"/>
        </w:rPr>
      </w:pPr>
      <w:bookmarkStart w:id="507" w:name="_Toc347120464"/>
      <w:bookmarkStart w:id="508" w:name="_Toc188257178"/>
      <w:bookmarkStart w:id="509" w:name="_Toc188257393"/>
      <w:bookmarkStart w:id="510" w:name="_Toc188257617"/>
      <w:bookmarkStart w:id="511" w:name="_Toc189162626"/>
      <w:r>
        <w:rPr>
          <w:rFonts w:ascii="Arial" w:hAnsi="Arial" w:cs="Arial"/>
          <w:b/>
          <w:color w:val="auto"/>
          <w:sz w:val="20"/>
          <w:szCs w:val="20"/>
        </w:rPr>
        <w:t>9</w:t>
      </w:r>
      <w:r w:rsidR="0025745A" w:rsidRPr="00AB4E62">
        <w:rPr>
          <w:rFonts w:ascii="Arial" w:hAnsi="Arial" w:cs="Arial"/>
          <w:b/>
          <w:color w:val="auto"/>
          <w:sz w:val="20"/>
          <w:szCs w:val="20"/>
        </w:rPr>
        <w:t>.4.1</w:t>
      </w:r>
      <w:r w:rsidR="0025745A" w:rsidRPr="00AB4E62">
        <w:rPr>
          <w:rFonts w:ascii="Arial" w:hAnsi="Arial" w:cs="Arial"/>
          <w:b/>
          <w:color w:val="auto"/>
          <w:sz w:val="20"/>
          <w:szCs w:val="20"/>
        </w:rPr>
        <w:tab/>
        <w:t>Demand Side Strategies and Customer Actions</w:t>
      </w:r>
      <w:bookmarkEnd w:id="507"/>
      <w:bookmarkEnd w:id="508"/>
      <w:bookmarkEnd w:id="509"/>
      <w:bookmarkEnd w:id="510"/>
      <w:bookmarkEnd w:id="511"/>
    </w:p>
    <w:p w14:paraId="351669B9" w14:textId="77777777" w:rsidR="00AB4E62" w:rsidRDefault="00AB4E62" w:rsidP="0025745A">
      <w:pPr>
        <w:pStyle w:val="BodyText"/>
      </w:pPr>
    </w:p>
    <w:p w14:paraId="07F5C608" w14:textId="5B60B7E1" w:rsidR="00A22A98" w:rsidRDefault="00AC13AD" w:rsidP="001D5A3B">
      <w:pPr>
        <w:pStyle w:val="BodyText"/>
        <w:spacing w:after="0" w:line="360" w:lineRule="auto"/>
        <w:jc w:val="both"/>
        <w:rPr>
          <w:b w:val="0"/>
        </w:rPr>
      </w:pPr>
      <w:r w:rsidRPr="00AB4E62">
        <w:rPr>
          <w:b w:val="0"/>
        </w:rPr>
        <w:t xml:space="preserve">Budget </w:t>
      </w:r>
      <w:r w:rsidR="00F563AA" w:rsidRPr="00AB4E62">
        <w:rPr>
          <w:b w:val="0"/>
        </w:rPr>
        <w:t>20</w:t>
      </w:r>
      <w:r w:rsidR="00F563AA">
        <w:rPr>
          <w:b w:val="0"/>
        </w:rPr>
        <w:t>25</w:t>
      </w:r>
      <w:r w:rsidR="00F563AA" w:rsidRPr="00AB4E62">
        <w:rPr>
          <w:b w:val="0"/>
        </w:rPr>
        <w:t xml:space="preserve"> </w:t>
      </w:r>
      <w:r w:rsidRPr="00AB4E62">
        <w:rPr>
          <w:b w:val="0"/>
        </w:rPr>
        <w:t>incorporate</w:t>
      </w:r>
      <w:r>
        <w:rPr>
          <w:b w:val="0"/>
        </w:rPr>
        <w:t>s</w:t>
      </w:r>
      <w:r w:rsidRPr="00AB4E62">
        <w:rPr>
          <w:b w:val="0"/>
        </w:rPr>
        <w:t xml:space="preserve"> adjustments for load responses by customers to changes in price, as well as for demand side programs being offered to customers that are anticipated to result in reduc</w:t>
      </w:r>
      <w:r w:rsidR="00F926FB">
        <w:rPr>
          <w:b w:val="0"/>
        </w:rPr>
        <w:t>tions in energy use and in</w:t>
      </w:r>
      <w:r w:rsidRPr="00AB4E62">
        <w:rPr>
          <w:b w:val="0"/>
        </w:rPr>
        <w:t xml:space="preserve"> peak demand. There are t</w:t>
      </w:r>
      <w:r>
        <w:rPr>
          <w:b w:val="0"/>
        </w:rPr>
        <w:t>wo</w:t>
      </w:r>
      <w:r w:rsidRPr="00AB4E62">
        <w:rPr>
          <w:b w:val="0"/>
        </w:rPr>
        <w:t xml:space="preserve"> types of impacts incorporated directly in the forecast: (1) the historical set of customer actions embedded in the historical data that are implicitly propagated throughout the forecast, and (2) adopted efficiency standards in the end-use models.</w:t>
      </w:r>
      <w:r>
        <w:rPr>
          <w:b w:val="0"/>
        </w:rPr>
        <w:t xml:space="preserve"> </w:t>
      </w:r>
    </w:p>
    <w:p w14:paraId="6B9AEEF8" w14:textId="77777777" w:rsidR="00A22A98" w:rsidRDefault="00A22A98" w:rsidP="001D5A3B">
      <w:pPr>
        <w:pStyle w:val="BodyText"/>
        <w:spacing w:after="0" w:line="276" w:lineRule="auto"/>
        <w:jc w:val="both"/>
        <w:rPr>
          <w:b w:val="0"/>
        </w:rPr>
      </w:pPr>
    </w:p>
    <w:p w14:paraId="5E4F217D" w14:textId="39FCF5FA" w:rsidR="00614311" w:rsidRPr="00AB4E62" w:rsidRDefault="00614311" w:rsidP="001D5A3B">
      <w:pPr>
        <w:pStyle w:val="BodyText"/>
        <w:spacing w:after="0" w:line="360" w:lineRule="auto"/>
        <w:jc w:val="both"/>
        <w:rPr>
          <w:b w:val="0"/>
        </w:rPr>
      </w:pPr>
      <w:r w:rsidRPr="00AB4E62">
        <w:rPr>
          <w:b w:val="0"/>
        </w:rPr>
        <w:t xml:space="preserve">Georgia Power offers </w:t>
      </w:r>
      <w:r>
        <w:rPr>
          <w:b w:val="0"/>
        </w:rPr>
        <w:t>DSM</w:t>
      </w:r>
      <w:r w:rsidRPr="00AB4E62">
        <w:rPr>
          <w:b w:val="0"/>
        </w:rPr>
        <w:t xml:space="preserve"> programs</w:t>
      </w:r>
      <w:r>
        <w:rPr>
          <w:b w:val="0"/>
        </w:rPr>
        <w:t xml:space="preserve"> to its residential and commercial customers </w:t>
      </w:r>
      <w:r w:rsidRPr="00AB4E62">
        <w:rPr>
          <w:b w:val="0"/>
        </w:rPr>
        <w:t xml:space="preserve">to promote energy </w:t>
      </w:r>
      <w:r>
        <w:rPr>
          <w:b w:val="0"/>
        </w:rPr>
        <w:t>savings</w:t>
      </w:r>
      <w:r w:rsidRPr="00AB4E62">
        <w:rPr>
          <w:b w:val="0"/>
        </w:rPr>
        <w:t xml:space="preserve">. These programs have existed for more than a decade and the benefits from the programs are embedded in Georgia Power’s historical load and energy sales. Therefore, the forecasts produced by using historical energy data and the embedded energy effects have an </w:t>
      </w:r>
      <w:r>
        <w:rPr>
          <w:b w:val="0"/>
        </w:rPr>
        <w:t>implicit</w:t>
      </w:r>
      <w:r w:rsidRPr="00AB4E62">
        <w:rPr>
          <w:b w:val="0"/>
        </w:rPr>
        <w:t xml:space="preserve"> effect propagated throughout the forecast. Other conservation measures undertaken by customers, whether explicitly induced by a marketing program or proactively undertaken by a customer for some other reason</w:t>
      </w:r>
      <w:r w:rsidR="00680E42">
        <w:rPr>
          <w:b w:val="0"/>
        </w:rPr>
        <w:t>,</w:t>
      </w:r>
      <w:r w:rsidRPr="00AB4E62">
        <w:rPr>
          <w:b w:val="0"/>
        </w:rPr>
        <w:t xml:space="preserve"> will become embedded in the historical energy data and will be implicitly propagated throughout the forecast.</w:t>
      </w:r>
    </w:p>
    <w:p w14:paraId="40DCFCDD" w14:textId="77777777" w:rsidR="00614311" w:rsidRDefault="00614311" w:rsidP="001D5A3B">
      <w:pPr>
        <w:pStyle w:val="BodyText"/>
        <w:spacing w:after="0" w:line="276" w:lineRule="auto"/>
        <w:jc w:val="both"/>
        <w:rPr>
          <w:b w:val="0"/>
        </w:rPr>
      </w:pPr>
    </w:p>
    <w:p w14:paraId="5F71C63E" w14:textId="28E5DEF4" w:rsidR="00AC13AD" w:rsidRDefault="00AC13AD" w:rsidP="001D5A3B">
      <w:pPr>
        <w:pStyle w:val="BodyText"/>
        <w:spacing w:after="0" w:line="360" w:lineRule="auto"/>
        <w:jc w:val="both"/>
        <w:rPr>
          <w:b w:val="0"/>
          <w:bCs/>
        </w:rPr>
      </w:pPr>
      <w:r>
        <w:rPr>
          <w:b w:val="0"/>
        </w:rPr>
        <w:t xml:space="preserve">Additional DSM adjustments are made to reflect new or ongoing Georgia Power programs that are not fully reflected in the historical data. </w:t>
      </w:r>
      <w:r w:rsidR="00A2302A">
        <w:rPr>
          <w:b w:val="0"/>
        </w:rPr>
        <w:t xml:space="preserve">Since </w:t>
      </w:r>
      <w:r w:rsidR="00D73B27">
        <w:rPr>
          <w:b w:val="0"/>
        </w:rPr>
        <w:t>Company</w:t>
      </w:r>
      <w:r w:rsidR="00A2302A">
        <w:rPr>
          <w:b w:val="0"/>
        </w:rPr>
        <w:t xml:space="preserve">-sponsored DSM programs reduce </w:t>
      </w:r>
      <w:r w:rsidR="00A22A98">
        <w:rPr>
          <w:b w:val="0"/>
        </w:rPr>
        <w:t xml:space="preserve">residential and commercial </w:t>
      </w:r>
      <w:r w:rsidR="00A2302A">
        <w:rPr>
          <w:b w:val="0"/>
        </w:rPr>
        <w:t xml:space="preserve">energy sales and peak demand, the impacts are subtracted from the energy and peak </w:t>
      </w:r>
      <w:r w:rsidR="00A2302A">
        <w:rPr>
          <w:b w:val="0"/>
        </w:rPr>
        <w:lastRenderedPageBreak/>
        <w:t>forecasts as an external adjustment.</w:t>
      </w:r>
      <w:r w:rsidR="00A22A98">
        <w:rPr>
          <w:b w:val="0"/>
        </w:rPr>
        <w:t xml:space="preserve"> In Budget </w:t>
      </w:r>
      <w:r w:rsidR="003554B4">
        <w:rPr>
          <w:b w:val="0"/>
        </w:rPr>
        <w:t>2025</w:t>
      </w:r>
      <w:r w:rsidR="00A22A98">
        <w:rPr>
          <w:b w:val="0"/>
        </w:rPr>
        <w:t xml:space="preserve">, </w:t>
      </w:r>
      <w:r w:rsidR="00A22A98" w:rsidRPr="00151C80">
        <w:rPr>
          <w:b w:val="0"/>
          <w:bCs/>
        </w:rPr>
        <w:t xml:space="preserve">DSM programs are assumed to continue through the forecast horizon. </w:t>
      </w:r>
    </w:p>
    <w:p w14:paraId="26367E45" w14:textId="77777777" w:rsidR="000F56E2" w:rsidRPr="00614311" w:rsidRDefault="000F56E2" w:rsidP="001D5A3B">
      <w:pPr>
        <w:pStyle w:val="BodyText"/>
        <w:spacing w:after="0" w:line="276" w:lineRule="auto"/>
        <w:jc w:val="both"/>
        <w:rPr>
          <w:b w:val="0"/>
          <w:bCs/>
        </w:rPr>
      </w:pPr>
    </w:p>
    <w:p w14:paraId="541E88A4" w14:textId="2BBAF974" w:rsidR="0025745A" w:rsidRDefault="00AC13AD" w:rsidP="001D5A3B">
      <w:pPr>
        <w:pStyle w:val="BodyText"/>
        <w:spacing w:after="0" w:line="360" w:lineRule="auto"/>
        <w:jc w:val="both"/>
        <w:rPr>
          <w:b w:val="0"/>
        </w:rPr>
      </w:pPr>
      <w:r w:rsidRPr="00AB4E62">
        <w:rPr>
          <w:b w:val="0"/>
        </w:rPr>
        <w:t xml:space="preserve">An additional type of demand side impact considered in Budget </w:t>
      </w:r>
      <w:r w:rsidR="00243D70" w:rsidRPr="00AB4E62">
        <w:rPr>
          <w:b w:val="0"/>
        </w:rPr>
        <w:t>20</w:t>
      </w:r>
      <w:r w:rsidR="00243D70">
        <w:rPr>
          <w:b w:val="0"/>
        </w:rPr>
        <w:t>25</w:t>
      </w:r>
      <w:r w:rsidR="00243D70" w:rsidRPr="00AB4E62">
        <w:rPr>
          <w:b w:val="0"/>
        </w:rPr>
        <w:t xml:space="preserve"> </w:t>
      </w:r>
      <w:r w:rsidRPr="00AB4E62">
        <w:rPr>
          <w:b w:val="0"/>
        </w:rPr>
        <w:t>is the adopted efficiency standards in the residential</w:t>
      </w:r>
      <w:r w:rsidR="00DE746B">
        <w:rPr>
          <w:b w:val="0"/>
        </w:rPr>
        <w:t xml:space="preserve"> and commercial</w:t>
      </w:r>
      <w:r w:rsidRPr="00AB4E62">
        <w:rPr>
          <w:b w:val="0"/>
        </w:rPr>
        <w:t xml:space="preserve"> end-use models. The efficiency standards represent the continuing trend of increasing end-use efficiency driven in part by programs such as ENERGY STAR</w:t>
      </w:r>
      <w:r w:rsidR="007B26E8" w:rsidRPr="00A765F1">
        <w:rPr>
          <w:b w:val="0"/>
          <w:vertAlign w:val="superscript"/>
        </w:rPr>
        <w:t>®</w:t>
      </w:r>
      <w:r w:rsidRPr="00AB4E62">
        <w:rPr>
          <w:b w:val="0"/>
        </w:rPr>
        <w:t>.</w:t>
      </w:r>
      <w:r w:rsidR="00616255">
        <w:rPr>
          <w:b w:val="0"/>
        </w:rPr>
        <w:t xml:space="preserve"> </w:t>
      </w:r>
    </w:p>
    <w:p w14:paraId="17FE909C" w14:textId="5A9ED995" w:rsidR="0025745A" w:rsidRDefault="00330771" w:rsidP="00AB4E62">
      <w:pPr>
        <w:pStyle w:val="Heading2"/>
        <w:spacing w:line="360" w:lineRule="auto"/>
        <w:jc w:val="left"/>
        <w:rPr>
          <w:rFonts w:ascii="Arial" w:hAnsi="Arial" w:cs="Arial"/>
          <w:b/>
          <w:color w:val="auto"/>
          <w:sz w:val="20"/>
          <w:szCs w:val="20"/>
        </w:rPr>
      </w:pPr>
      <w:bookmarkStart w:id="512" w:name="_Toc347120465"/>
      <w:bookmarkStart w:id="513" w:name="_Toc188257179"/>
      <w:bookmarkStart w:id="514" w:name="_Toc188257394"/>
      <w:bookmarkStart w:id="515" w:name="_Toc188257618"/>
      <w:bookmarkStart w:id="516" w:name="_Toc189162627"/>
      <w:r>
        <w:rPr>
          <w:rFonts w:ascii="Arial" w:hAnsi="Arial" w:cs="Arial"/>
          <w:b/>
          <w:color w:val="auto"/>
          <w:sz w:val="20"/>
          <w:szCs w:val="20"/>
        </w:rPr>
        <w:t>9</w:t>
      </w:r>
      <w:r w:rsidR="0025745A" w:rsidRPr="00AB4E62">
        <w:rPr>
          <w:rFonts w:ascii="Arial" w:hAnsi="Arial" w:cs="Arial"/>
          <w:b/>
          <w:color w:val="auto"/>
          <w:sz w:val="20"/>
          <w:szCs w:val="20"/>
        </w:rPr>
        <w:t>.4.2</w:t>
      </w:r>
      <w:r w:rsidR="0025745A" w:rsidRPr="00AB4E62">
        <w:rPr>
          <w:rFonts w:ascii="Arial" w:hAnsi="Arial" w:cs="Arial"/>
          <w:b/>
          <w:color w:val="auto"/>
          <w:sz w:val="20"/>
          <w:szCs w:val="20"/>
        </w:rPr>
        <w:tab/>
        <w:t>Cogeneration</w:t>
      </w:r>
      <w:bookmarkEnd w:id="512"/>
      <w:bookmarkEnd w:id="513"/>
      <w:bookmarkEnd w:id="514"/>
      <w:bookmarkEnd w:id="515"/>
      <w:bookmarkEnd w:id="516"/>
    </w:p>
    <w:p w14:paraId="689FA13F" w14:textId="77777777" w:rsidR="00F55B00" w:rsidRPr="00F55B00" w:rsidRDefault="00F55B00" w:rsidP="00F55B00"/>
    <w:p w14:paraId="308AE379" w14:textId="0D2E89E7" w:rsidR="00AC13AD" w:rsidRDefault="00AC13AD" w:rsidP="001D5A3B">
      <w:pPr>
        <w:pStyle w:val="BodyText"/>
        <w:spacing w:after="0" w:line="360" w:lineRule="auto"/>
        <w:jc w:val="both"/>
        <w:rPr>
          <w:b w:val="0"/>
          <w:bCs/>
        </w:rPr>
      </w:pPr>
      <w:r>
        <w:rPr>
          <w:b w:val="0"/>
        </w:rPr>
        <w:t xml:space="preserve">The effects of cogeneration are incorporated into Budget </w:t>
      </w:r>
      <w:r w:rsidR="00243D70">
        <w:rPr>
          <w:b w:val="0"/>
        </w:rPr>
        <w:t>2025</w:t>
      </w:r>
      <w:r>
        <w:rPr>
          <w:b w:val="0"/>
        </w:rPr>
        <w:t xml:space="preserve">. Available near-term information for known and expected cogeneration projects </w:t>
      </w:r>
      <w:r w:rsidR="00C506D0">
        <w:rPr>
          <w:b w:val="0"/>
        </w:rPr>
        <w:t xml:space="preserve">is </w:t>
      </w:r>
      <w:r w:rsidR="000F56E2">
        <w:rPr>
          <w:b w:val="0"/>
        </w:rPr>
        <w:t xml:space="preserve">obtained by Georgia Power Sales and </w:t>
      </w:r>
      <w:r w:rsidR="003A07CE">
        <w:rPr>
          <w:b w:val="0"/>
        </w:rPr>
        <w:t>Marketing</w:t>
      </w:r>
      <w:r w:rsidR="000F56E2">
        <w:rPr>
          <w:b w:val="0"/>
        </w:rPr>
        <w:t xml:space="preserve"> personnel from interviews with customers with an announced project. </w:t>
      </w:r>
      <w:r w:rsidR="003A07CE">
        <w:rPr>
          <w:b w:val="0"/>
        </w:rPr>
        <w:t xml:space="preserve">A probability that each reported new cogeneration project will materialize </w:t>
      </w:r>
      <w:r w:rsidR="00C506D0">
        <w:rPr>
          <w:b w:val="0"/>
        </w:rPr>
        <w:t xml:space="preserve">is </w:t>
      </w:r>
      <w:r w:rsidR="003A07CE">
        <w:rPr>
          <w:b w:val="0"/>
        </w:rPr>
        <w:t xml:space="preserve">estimated. The probability-weighted MW announcements </w:t>
      </w:r>
      <w:r w:rsidR="002C4CAC">
        <w:rPr>
          <w:b w:val="0"/>
        </w:rPr>
        <w:t xml:space="preserve">are </w:t>
      </w:r>
      <w:r w:rsidR="003A07CE">
        <w:rPr>
          <w:b w:val="0"/>
        </w:rPr>
        <w:t xml:space="preserve">then used to project the amount of additional cogeneration to incorporate into the </w:t>
      </w:r>
      <w:r w:rsidR="00A87C85">
        <w:rPr>
          <w:b w:val="0"/>
        </w:rPr>
        <w:t xml:space="preserve">peak </w:t>
      </w:r>
      <w:r w:rsidR="003A07CE">
        <w:rPr>
          <w:b w:val="0"/>
        </w:rPr>
        <w:t xml:space="preserve">forecast. The estimated MW cogeneration load </w:t>
      </w:r>
      <w:r w:rsidR="00A87C85">
        <w:rPr>
          <w:b w:val="0"/>
        </w:rPr>
        <w:t xml:space="preserve">is </w:t>
      </w:r>
      <w:r w:rsidR="003A07CE">
        <w:rPr>
          <w:b w:val="0"/>
        </w:rPr>
        <w:t xml:space="preserve">converted into </w:t>
      </w:r>
      <w:r w:rsidR="0041164B">
        <w:rPr>
          <w:b w:val="0"/>
        </w:rPr>
        <w:t xml:space="preserve">a </w:t>
      </w:r>
      <w:r w:rsidR="003A07CE">
        <w:rPr>
          <w:b w:val="0"/>
        </w:rPr>
        <w:t xml:space="preserve">MWh energy </w:t>
      </w:r>
      <w:r w:rsidR="0041164B">
        <w:rPr>
          <w:b w:val="0"/>
        </w:rPr>
        <w:t>impact</w:t>
      </w:r>
      <w:r w:rsidR="003A07CE">
        <w:rPr>
          <w:b w:val="0"/>
        </w:rPr>
        <w:t xml:space="preserve"> using a common load factor</w:t>
      </w:r>
      <w:r w:rsidR="00A87C85">
        <w:rPr>
          <w:b w:val="0"/>
        </w:rPr>
        <w:t xml:space="preserve"> to project the amount of cogeneration to include in the energy forecast</w:t>
      </w:r>
      <w:r w:rsidR="003A07CE">
        <w:rPr>
          <w:b w:val="0"/>
        </w:rPr>
        <w:t xml:space="preserve">. </w:t>
      </w:r>
      <w:r w:rsidR="0041164B">
        <w:rPr>
          <w:b w:val="0"/>
        </w:rPr>
        <w:t>Since cogeneration reduces energy sales and peak demand, the impacts of new cogeneration projects are subtracted from the commercial and industrial energy and peak forecasts as an external adjustment</w:t>
      </w:r>
      <w:r w:rsidR="00E35686">
        <w:rPr>
          <w:b w:val="0"/>
        </w:rPr>
        <w:t>.</w:t>
      </w:r>
    </w:p>
    <w:p w14:paraId="7984B404" w14:textId="66B85AC4" w:rsidR="00F926FB" w:rsidRDefault="00330771" w:rsidP="00E73E4F">
      <w:pPr>
        <w:pStyle w:val="Heading2"/>
        <w:jc w:val="left"/>
      </w:pPr>
      <w:bookmarkStart w:id="517" w:name="_Toc188257180"/>
      <w:bookmarkStart w:id="518" w:name="_Toc188257395"/>
      <w:bookmarkStart w:id="519" w:name="_Toc188257619"/>
      <w:bookmarkStart w:id="520" w:name="_Toc189162628"/>
      <w:r>
        <w:rPr>
          <w:rFonts w:ascii="Arial" w:hAnsi="Arial" w:cs="Arial"/>
          <w:b/>
          <w:color w:val="auto"/>
          <w:sz w:val="20"/>
          <w:szCs w:val="20"/>
        </w:rPr>
        <w:t>9</w:t>
      </w:r>
      <w:r w:rsidR="00F926FB" w:rsidRPr="00E73E4F">
        <w:rPr>
          <w:rFonts w:ascii="Arial" w:hAnsi="Arial" w:cs="Arial"/>
          <w:b/>
          <w:color w:val="auto"/>
          <w:sz w:val="20"/>
          <w:szCs w:val="20"/>
        </w:rPr>
        <w:t>.4.</w:t>
      </w:r>
      <w:r w:rsidR="009C019A">
        <w:rPr>
          <w:rFonts w:ascii="Arial" w:hAnsi="Arial" w:cs="Arial"/>
          <w:b/>
          <w:color w:val="auto"/>
          <w:sz w:val="20"/>
          <w:szCs w:val="20"/>
        </w:rPr>
        <w:t>3</w:t>
      </w:r>
      <w:r w:rsidR="00F926FB">
        <w:rPr>
          <w:rFonts w:ascii="Arial" w:hAnsi="Arial" w:cs="Arial"/>
          <w:b/>
          <w:color w:val="auto"/>
          <w:sz w:val="20"/>
          <w:szCs w:val="20"/>
        </w:rPr>
        <w:tab/>
        <w:t>Electric Vehicles</w:t>
      </w:r>
      <w:bookmarkEnd w:id="517"/>
      <w:bookmarkEnd w:id="518"/>
      <w:bookmarkEnd w:id="519"/>
      <w:bookmarkEnd w:id="520"/>
    </w:p>
    <w:p w14:paraId="40588201" w14:textId="1E802A78" w:rsidR="00F926FB" w:rsidRDefault="00F926FB" w:rsidP="00E73E4F">
      <w:pPr>
        <w:jc w:val="left"/>
      </w:pPr>
    </w:p>
    <w:p w14:paraId="0CC2F960" w14:textId="636E57CE" w:rsidR="008B56ED" w:rsidRDefault="00F90027" w:rsidP="006C5F08">
      <w:pPr>
        <w:spacing w:line="360" w:lineRule="auto"/>
        <w:jc w:val="both"/>
        <w:rPr>
          <w:b w:val="0"/>
        </w:rPr>
      </w:pPr>
      <w:r>
        <w:rPr>
          <w:b w:val="0"/>
        </w:rPr>
        <w:t>The impacts of expected growth in electric vehicles</w:t>
      </w:r>
      <w:r w:rsidR="00354242">
        <w:rPr>
          <w:b w:val="0"/>
        </w:rPr>
        <w:t xml:space="preserve"> in Georgia</w:t>
      </w:r>
      <w:r w:rsidR="009104BD">
        <w:rPr>
          <w:b w:val="0"/>
        </w:rPr>
        <w:t xml:space="preserve">, including </w:t>
      </w:r>
      <w:r w:rsidR="00F74A05">
        <w:rPr>
          <w:b w:val="0"/>
        </w:rPr>
        <w:t>passenger vehicles and l</w:t>
      </w:r>
      <w:r w:rsidR="009104BD">
        <w:rPr>
          <w:b w:val="0"/>
        </w:rPr>
        <w:t>ight</w:t>
      </w:r>
      <w:r w:rsidR="00F74A05">
        <w:rPr>
          <w:b w:val="0"/>
        </w:rPr>
        <w:t>-duty trucks</w:t>
      </w:r>
      <w:r w:rsidR="00DD6D45">
        <w:rPr>
          <w:b w:val="0"/>
        </w:rPr>
        <w:t>, medium-</w:t>
      </w:r>
      <w:r w:rsidR="00F82FDE">
        <w:rPr>
          <w:b w:val="0"/>
        </w:rPr>
        <w:t xml:space="preserve">duty </w:t>
      </w:r>
      <w:r w:rsidR="00DD6D45">
        <w:rPr>
          <w:b w:val="0"/>
        </w:rPr>
        <w:t>and heavy-duty trucks and buses</w:t>
      </w:r>
      <w:r w:rsidR="00BB22E7">
        <w:rPr>
          <w:b w:val="0"/>
        </w:rPr>
        <w:t>,</w:t>
      </w:r>
      <w:r>
        <w:rPr>
          <w:b w:val="0"/>
        </w:rPr>
        <w:t xml:space="preserve"> have been incorporated into the Budget </w:t>
      </w:r>
      <w:r w:rsidR="009104BD">
        <w:rPr>
          <w:b w:val="0"/>
        </w:rPr>
        <w:t xml:space="preserve">2025 </w:t>
      </w:r>
      <w:r>
        <w:rPr>
          <w:b w:val="0"/>
        </w:rPr>
        <w:t xml:space="preserve">forecast. </w:t>
      </w:r>
      <w:r w:rsidR="00D21F47">
        <w:rPr>
          <w:b w:val="0"/>
        </w:rPr>
        <w:t>The impact of existing electric vehicles is already</w:t>
      </w:r>
      <w:r w:rsidR="00595997">
        <w:rPr>
          <w:b w:val="0"/>
        </w:rPr>
        <w:t xml:space="preserve"> </w:t>
      </w:r>
      <w:r w:rsidR="00595997" w:rsidRPr="00AB4E62">
        <w:rPr>
          <w:b w:val="0"/>
        </w:rPr>
        <w:t xml:space="preserve">embedded in the historical data that </w:t>
      </w:r>
      <w:r w:rsidR="00595997">
        <w:rPr>
          <w:b w:val="0"/>
        </w:rPr>
        <w:t>is</w:t>
      </w:r>
      <w:r w:rsidR="00595997" w:rsidRPr="00AB4E62">
        <w:rPr>
          <w:b w:val="0"/>
        </w:rPr>
        <w:t xml:space="preserve"> implicitly propagated throughout the forecast</w:t>
      </w:r>
      <w:r w:rsidR="00D21F47">
        <w:rPr>
          <w:b w:val="0"/>
        </w:rPr>
        <w:t xml:space="preserve">. </w:t>
      </w:r>
      <w:r w:rsidR="00BD07C8">
        <w:rPr>
          <w:b w:val="0"/>
        </w:rPr>
        <w:t xml:space="preserve">Growth in electric </w:t>
      </w:r>
      <w:r w:rsidR="009B7FF5">
        <w:rPr>
          <w:b w:val="0"/>
        </w:rPr>
        <w:t>vehicle</w:t>
      </w:r>
      <w:r w:rsidR="00BD07C8">
        <w:rPr>
          <w:b w:val="0"/>
        </w:rPr>
        <w:t xml:space="preserve"> sales</w:t>
      </w:r>
      <w:r w:rsidR="009B7FF5">
        <w:rPr>
          <w:b w:val="0"/>
        </w:rPr>
        <w:t xml:space="preserve"> represent</w:t>
      </w:r>
      <w:r w:rsidR="00BD07C8">
        <w:rPr>
          <w:b w:val="0"/>
        </w:rPr>
        <w:t>s</w:t>
      </w:r>
      <w:r w:rsidR="009B7FF5">
        <w:rPr>
          <w:b w:val="0"/>
        </w:rPr>
        <w:t xml:space="preserve"> a positive adjustment to the </w:t>
      </w:r>
      <w:r w:rsidR="00BD07C8">
        <w:rPr>
          <w:b w:val="0"/>
        </w:rPr>
        <w:t xml:space="preserve">Budget </w:t>
      </w:r>
      <w:r w:rsidR="009104BD">
        <w:rPr>
          <w:b w:val="0"/>
        </w:rPr>
        <w:t xml:space="preserve">2025 </w:t>
      </w:r>
      <w:r w:rsidR="009B7FF5">
        <w:rPr>
          <w:b w:val="0"/>
        </w:rPr>
        <w:t>forecast</w:t>
      </w:r>
      <w:r w:rsidR="00BD07C8">
        <w:rPr>
          <w:b w:val="0"/>
        </w:rPr>
        <w:t>, since more electric vehicles in Georgia lead to higher electric sales</w:t>
      </w:r>
      <w:r w:rsidR="00E023A9">
        <w:rPr>
          <w:b w:val="0"/>
        </w:rPr>
        <w:t xml:space="preserve">. The forecast of electric vehicles in Georgia is based on a scenario by </w:t>
      </w:r>
      <w:r w:rsidR="00EC5969">
        <w:rPr>
          <w:b w:val="0"/>
        </w:rPr>
        <w:t>the Electric Power Research Institute (“</w:t>
      </w:r>
      <w:r w:rsidR="00E023A9">
        <w:rPr>
          <w:b w:val="0"/>
        </w:rPr>
        <w:t>EPRI</w:t>
      </w:r>
      <w:r w:rsidR="00EC5969">
        <w:rPr>
          <w:b w:val="0"/>
        </w:rPr>
        <w:t>”)</w:t>
      </w:r>
      <w:r w:rsidR="00851B07">
        <w:rPr>
          <w:b w:val="0"/>
        </w:rPr>
        <w:t xml:space="preserve">, which produces </w:t>
      </w:r>
      <w:r w:rsidR="005C723E">
        <w:rPr>
          <w:b w:val="0"/>
        </w:rPr>
        <w:t xml:space="preserve">electric vehicle growth </w:t>
      </w:r>
      <w:r w:rsidR="00E72380">
        <w:rPr>
          <w:b w:val="0"/>
        </w:rPr>
        <w:t xml:space="preserve">scenarios </w:t>
      </w:r>
      <w:r w:rsidR="00851B07">
        <w:rPr>
          <w:b w:val="0"/>
        </w:rPr>
        <w:t>for states across the nation.</w:t>
      </w:r>
      <w:r w:rsidR="00E023A9">
        <w:rPr>
          <w:b w:val="0"/>
        </w:rPr>
        <w:t xml:space="preserve"> Georgia Power </w:t>
      </w:r>
      <w:r w:rsidR="0016091B">
        <w:rPr>
          <w:b w:val="0"/>
        </w:rPr>
        <w:t>selected</w:t>
      </w:r>
      <w:r w:rsidR="00E023A9">
        <w:rPr>
          <w:b w:val="0"/>
        </w:rPr>
        <w:t xml:space="preserve"> the</w:t>
      </w:r>
      <w:r w:rsidR="00FB3480">
        <w:rPr>
          <w:b w:val="0"/>
        </w:rPr>
        <w:t xml:space="preserve"> </w:t>
      </w:r>
      <w:r w:rsidR="00864458">
        <w:rPr>
          <w:b w:val="0"/>
        </w:rPr>
        <w:t>”</w:t>
      </w:r>
      <w:r w:rsidR="00E023A9">
        <w:rPr>
          <w:b w:val="0"/>
        </w:rPr>
        <w:t>medium” EPRI scenario</w:t>
      </w:r>
      <w:r w:rsidR="00E73E4F">
        <w:rPr>
          <w:b w:val="0"/>
        </w:rPr>
        <w:t xml:space="preserve"> for use in Budget </w:t>
      </w:r>
      <w:r w:rsidR="00ED6871">
        <w:rPr>
          <w:b w:val="0"/>
        </w:rPr>
        <w:t>2025</w:t>
      </w:r>
      <w:r w:rsidR="00851B07">
        <w:rPr>
          <w:b w:val="0"/>
        </w:rPr>
        <w:t>.</w:t>
      </w:r>
      <w:r w:rsidR="00E023A9">
        <w:rPr>
          <w:b w:val="0"/>
        </w:rPr>
        <w:t xml:space="preserve"> </w:t>
      </w:r>
    </w:p>
    <w:p w14:paraId="588F2E21" w14:textId="77777777" w:rsidR="00883788" w:rsidRDefault="00883788" w:rsidP="006C5F08">
      <w:pPr>
        <w:spacing w:line="276" w:lineRule="auto"/>
        <w:jc w:val="both"/>
        <w:rPr>
          <w:b w:val="0"/>
        </w:rPr>
      </w:pPr>
    </w:p>
    <w:p w14:paraId="369BAA50" w14:textId="62F0BA78" w:rsidR="008B56ED" w:rsidRDefault="008B56ED" w:rsidP="006C5F08">
      <w:pPr>
        <w:spacing w:line="360" w:lineRule="auto"/>
        <w:jc w:val="both"/>
        <w:rPr>
          <w:b w:val="0"/>
        </w:rPr>
      </w:pPr>
      <w:bookmarkStart w:id="521" w:name="_Hlk535492457"/>
      <w:r>
        <w:rPr>
          <w:b w:val="0"/>
        </w:rPr>
        <w:t xml:space="preserve">Electric vehicles are incorporated into the Budget </w:t>
      </w:r>
      <w:r w:rsidR="00ED6871">
        <w:rPr>
          <w:b w:val="0"/>
        </w:rPr>
        <w:t xml:space="preserve">2025 </w:t>
      </w:r>
      <w:r>
        <w:rPr>
          <w:b w:val="0"/>
        </w:rPr>
        <w:t>peak demand forecast using load shapes for the residential and commercial classes.</w:t>
      </w:r>
      <w:bookmarkEnd w:id="521"/>
      <w:r w:rsidR="00ED6871">
        <w:rPr>
          <w:b w:val="0"/>
        </w:rPr>
        <w:t xml:space="preserve"> </w:t>
      </w:r>
      <w:r w:rsidR="00D6157B">
        <w:rPr>
          <w:b w:val="0"/>
        </w:rPr>
        <w:t xml:space="preserve">Energy sales from </w:t>
      </w:r>
      <w:r w:rsidR="00ED6871">
        <w:rPr>
          <w:b w:val="0"/>
        </w:rPr>
        <w:t>Medium</w:t>
      </w:r>
      <w:r w:rsidR="00F82FDE">
        <w:rPr>
          <w:b w:val="0"/>
        </w:rPr>
        <w:t>-duty and heavy</w:t>
      </w:r>
      <w:r w:rsidR="00583D7D">
        <w:rPr>
          <w:b w:val="0"/>
        </w:rPr>
        <w:t>-</w:t>
      </w:r>
      <w:r w:rsidR="00F82FDE">
        <w:rPr>
          <w:b w:val="0"/>
        </w:rPr>
        <w:t>duty trucks and buses</w:t>
      </w:r>
      <w:r w:rsidR="00583D7D">
        <w:rPr>
          <w:b w:val="0"/>
        </w:rPr>
        <w:t xml:space="preserve"> are included in the</w:t>
      </w:r>
      <w:r w:rsidR="00D6157B">
        <w:rPr>
          <w:b w:val="0"/>
        </w:rPr>
        <w:t xml:space="preserve"> commercial class.</w:t>
      </w:r>
      <w:r w:rsidR="00616255">
        <w:rPr>
          <w:b w:val="0"/>
        </w:rPr>
        <w:t xml:space="preserve"> </w:t>
      </w:r>
      <w:r w:rsidR="00F82FDE">
        <w:rPr>
          <w:b w:val="0"/>
        </w:rPr>
        <w:t xml:space="preserve"> </w:t>
      </w:r>
    </w:p>
    <w:p w14:paraId="4379401A" w14:textId="174A08E8" w:rsidR="00F926FB" w:rsidRPr="009C019A" w:rsidRDefault="00330771" w:rsidP="009C019A">
      <w:pPr>
        <w:pStyle w:val="Heading2"/>
        <w:jc w:val="left"/>
        <w:rPr>
          <w:rFonts w:ascii="Arial" w:hAnsi="Arial" w:cs="Arial"/>
          <w:b/>
          <w:color w:val="auto"/>
          <w:sz w:val="20"/>
          <w:szCs w:val="20"/>
        </w:rPr>
      </w:pPr>
      <w:bookmarkStart w:id="522" w:name="_Toc189162629"/>
      <w:r w:rsidRPr="009C019A">
        <w:rPr>
          <w:rFonts w:ascii="Arial" w:hAnsi="Arial" w:cs="Arial"/>
          <w:b/>
          <w:color w:val="auto"/>
          <w:sz w:val="20"/>
          <w:szCs w:val="20"/>
        </w:rPr>
        <w:t>9</w:t>
      </w:r>
      <w:r w:rsidR="00F926FB" w:rsidRPr="009C019A">
        <w:rPr>
          <w:rFonts w:ascii="Arial" w:hAnsi="Arial" w:cs="Arial"/>
          <w:b/>
          <w:color w:val="auto"/>
          <w:sz w:val="20"/>
          <w:szCs w:val="20"/>
        </w:rPr>
        <w:t>.4.</w:t>
      </w:r>
      <w:r w:rsidR="009C019A" w:rsidRPr="009C019A">
        <w:rPr>
          <w:rFonts w:ascii="Arial" w:hAnsi="Arial" w:cs="Arial"/>
          <w:b/>
          <w:color w:val="auto"/>
          <w:sz w:val="20"/>
          <w:szCs w:val="20"/>
        </w:rPr>
        <w:t>4</w:t>
      </w:r>
      <w:r w:rsidR="00F926FB" w:rsidRPr="009C019A">
        <w:rPr>
          <w:rFonts w:ascii="Arial" w:hAnsi="Arial" w:cs="Arial"/>
          <w:b/>
          <w:color w:val="auto"/>
          <w:sz w:val="20"/>
          <w:szCs w:val="20"/>
        </w:rPr>
        <w:tab/>
        <w:t>Behind-The-Meter Solar</w:t>
      </w:r>
      <w:bookmarkEnd w:id="522"/>
    </w:p>
    <w:p w14:paraId="244AE489" w14:textId="77777777" w:rsidR="00F926FB" w:rsidRPr="00E73E4F" w:rsidRDefault="00F926FB" w:rsidP="00E73E4F">
      <w:pPr>
        <w:jc w:val="left"/>
      </w:pPr>
    </w:p>
    <w:p w14:paraId="0CDC3C36" w14:textId="5E9F972C" w:rsidR="0025745A" w:rsidRDefault="00D73B27" w:rsidP="006C5F08">
      <w:pPr>
        <w:pStyle w:val="BodyText"/>
        <w:spacing w:after="0" w:line="360" w:lineRule="auto"/>
        <w:jc w:val="both"/>
        <w:rPr>
          <w:b w:val="0"/>
        </w:rPr>
      </w:pPr>
      <w:r>
        <w:rPr>
          <w:b w:val="0"/>
        </w:rPr>
        <w:t>Behind-the-meter</w:t>
      </w:r>
      <w:r w:rsidR="005E4CB6">
        <w:rPr>
          <w:b w:val="0"/>
        </w:rPr>
        <w:t xml:space="preserve"> </w:t>
      </w:r>
      <w:r w:rsidR="003E7E6A">
        <w:rPr>
          <w:b w:val="0"/>
        </w:rPr>
        <w:t>solar</w:t>
      </w:r>
      <w:r w:rsidR="005E4CB6">
        <w:rPr>
          <w:b w:val="0"/>
        </w:rPr>
        <w:t xml:space="preserve"> </w:t>
      </w:r>
      <w:r w:rsidR="00D5754A">
        <w:rPr>
          <w:b w:val="0"/>
        </w:rPr>
        <w:t xml:space="preserve">is a solar energy system that produces power intended for on-site use in a home, office building, or other commercial or industrial facility. Thus, a </w:t>
      </w:r>
      <w:r>
        <w:rPr>
          <w:b w:val="0"/>
        </w:rPr>
        <w:t>behind-the-meter</w:t>
      </w:r>
      <w:r w:rsidR="00D5754A">
        <w:rPr>
          <w:b w:val="0"/>
        </w:rPr>
        <w:t xml:space="preserve"> system allows an owner to use the energy </w:t>
      </w:r>
      <w:r w:rsidR="00E73E4F">
        <w:rPr>
          <w:b w:val="0"/>
        </w:rPr>
        <w:t xml:space="preserve">produced </w:t>
      </w:r>
      <w:r w:rsidR="00D5754A">
        <w:rPr>
          <w:b w:val="0"/>
        </w:rPr>
        <w:t xml:space="preserve">from their system first, before using energy from the grid. Such systems directly reduce the energy consumed and the demand from </w:t>
      </w:r>
      <w:r w:rsidR="005E4CB6">
        <w:rPr>
          <w:b w:val="0"/>
        </w:rPr>
        <w:t>the residential, commercial</w:t>
      </w:r>
      <w:r>
        <w:rPr>
          <w:b w:val="0"/>
        </w:rPr>
        <w:t>,</w:t>
      </w:r>
      <w:r w:rsidR="005E4CB6">
        <w:rPr>
          <w:b w:val="0"/>
        </w:rPr>
        <w:t xml:space="preserve"> and industrial classes. </w:t>
      </w:r>
      <w:r w:rsidR="0016091B">
        <w:rPr>
          <w:b w:val="0"/>
        </w:rPr>
        <w:t>A</w:t>
      </w:r>
      <w:r w:rsidR="005E4CB6">
        <w:rPr>
          <w:b w:val="0"/>
        </w:rPr>
        <w:t xml:space="preserve">n external adjustment is made </w:t>
      </w:r>
      <w:r w:rsidR="00B710C8">
        <w:rPr>
          <w:b w:val="0"/>
        </w:rPr>
        <w:t xml:space="preserve">to the </w:t>
      </w:r>
      <w:r w:rsidR="0016091B">
        <w:rPr>
          <w:b w:val="0"/>
        </w:rPr>
        <w:t xml:space="preserve">energy </w:t>
      </w:r>
      <w:r w:rsidR="00B710C8">
        <w:rPr>
          <w:b w:val="0"/>
        </w:rPr>
        <w:t xml:space="preserve">forecast to account for </w:t>
      </w:r>
      <w:r w:rsidR="005E4CB6">
        <w:rPr>
          <w:b w:val="0"/>
        </w:rPr>
        <w:t xml:space="preserve">the impact of </w:t>
      </w:r>
      <w:r>
        <w:rPr>
          <w:b w:val="0"/>
        </w:rPr>
        <w:t>behind-the-</w:t>
      </w:r>
      <w:r>
        <w:rPr>
          <w:b w:val="0"/>
        </w:rPr>
        <w:lastRenderedPageBreak/>
        <w:t xml:space="preserve">meter </w:t>
      </w:r>
      <w:r w:rsidR="005E4CB6">
        <w:rPr>
          <w:b w:val="0"/>
        </w:rPr>
        <w:t>solar</w:t>
      </w:r>
      <w:r w:rsidR="00B710C8">
        <w:rPr>
          <w:b w:val="0"/>
        </w:rPr>
        <w:t xml:space="preserve">. </w:t>
      </w:r>
      <w:r>
        <w:rPr>
          <w:b w:val="0"/>
        </w:rPr>
        <w:t>Behind-the-meter</w:t>
      </w:r>
      <w:r w:rsidR="00B710C8">
        <w:rPr>
          <w:b w:val="0"/>
        </w:rPr>
        <w:t xml:space="preserve"> solar </w:t>
      </w:r>
      <w:r w:rsidR="00D5754A">
        <w:rPr>
          <w:b w:val="0"/>
        </w:rPr>
        <w:t xml:space="preserve">directly </w:t>
      </w:r>
      <w:r w:rsidR="00B710C8">
        <w:rPr>
          <w:b w:val="0"/>
        </w:rPr>
        <w:t xml:space="preserve">reduces the amount of energy that would be </w:t>
      </w:r>
      <w:r w:rsidR="00D5754A">
        <w:rPr>
          <w:b w:val="0"/>
        </w:rPr>
        <w:t xml:space="preserve">purchased from </w:t>
      </w:r>
      <w:r w:rsidR="00B710C8">
        <w:rPr>
          <w:b w:val="0"/>
        </w:rPr>
        <w:t xml:space="preserve">the </w:t>
      </w:r>
      <w:r w:rsidR="00D5754A">
        <w:rPr>
          <w:b w:val="0"/>
        </w:rPr>
        <w:t>grid</w:t>
      </w:r>
      <w:r w:rsidR="00B710C8">
        <w:rPr>
          <w:b w:val="0"/>
        </w:rPr>
        <w:t>.</w:t>
      </w:r>
      <w:r w:rsidR="00616255">
        <w:rPr>
          <w:b w:val="0"/>
        </w:rPr>
        <w:t xml:space="preserve">  </w:t>
      </w:r>
      <w:r w:rsidR="005E4CB6">
        <w:rPr>
          <w:b w:val="0"/>
        </w:rPr>
        <w:t xml:space="preserve"> </w:t>
      </w:r>
    </w:p>
    <w:p w14:paraId="54ADBF4D" w14:textId="2890CC95" w:rsidR="001C3D38" w:rsidRDefault="001C3D38" w:rsidP="006C5F08">
      <w:pPr>
        <w:pStyle w:val="BodyText"/>
        <w:spacing w:after="0" w:line="276" w:lineRule="auto"/>
        <w:jc w:val="both"/>
        <w:rPr>
          <w:b w:val="0"/>
        </w:rPr>
      </w:pPr>
    </w:p>
    <w:p w14:paraId="32CC72B8" w14:textId="2B775DFC" w:rsidR="00883788" w:rsidRDefault="00D73B27" w:rsidP="006C5F08">
      <w:pPr>
        <w:pStyle w:val="BodyText"/>
        <w:spacing w:line="360" w:lineRule="auto"/>
        <w:jc w:val="both"/>
        <w:rPr>
          <w:b w:val="0"/>
        </w:rPr>
      </w:pPr>
      <w:r>
        <w:rPr>
          <w:b w:val="0"/>
        </w:rPr>
        <w:t>Behind-the-meter</w:t>
      </w:r>
      <w:r w:rsidR="001C3D38">
        <w:rPr>
          <w:b w:val="0"/>
        </w:rPr>
        <w:t xml:space="preserve"> solar is incorporated into the Budget </w:t>
      </w:r>
      <w:r w:rsidR="00D6157B">
        <w:rPr>
          <w:b w:val="0"/>
        </w:rPr>
        <w:t xml:space="preserve">2025 </w:t>
      </w:r>
      <w:r w:rsidR="001C3D38">
        <w:rPr>
          <w:b w:val="0"/>
        </w:rPr>
        <w:t xml:space="preserve">peak demand forecast using load shapes for </w:t>
      </w:r>
      <w:r w:rsidR="008B56ED">
        <w:rPr>
          <w:b w:val="0"/>
        </w:rPr>
        <w:t xml:space="preserve">the </w:t>
      </w:r>
      <w:r w:rsidR="001C3D38">
        <w:rPr>
          <w:b w:val="0"/>
        </w:rPr>
        <w:t>residential, commercial</w:t>
      </w:r>
      <w:r>
        <w:rPr>
          <w:b w:val="0"/>
        </w:rPr>
        <w:t>,</w:t>
      </w:r>
      <w:r w:rsidR="001C3D38">
        <w:rPr>
          <w:b w:val="0"/>
        </w:rPr>
        <w:t xml:space="preserve"> and industrial </w:t>
      </w:r>
      <w:r w:rsidR="008B56ED">
        <w:rPr>
          <w:b w:val="0"/>
        </w:rPr>
        <w:t>classes</w:t>
      </w:r>
      <w:r w:rsidR="001C3D38">
        <w:rPr>
          <w:b w:val="0"/>
        </w:rPr>
        <w:t xml:space="preserve">. </w:t>
      </w:r>
      <w:bookmarkStart w:id="523" w:name="_Toc347120468"/>
    </w:p>
    <w:p w14:paraId="47E95641" w14:textId="7009D854" w:rsidR="007D23F4" w:rsidRDefault="007D23F4">
      <w:pPr>
        <w:spacing w:after="200" w:line="276" w:lineRule="auto"/>
        <w:jc w:val="left"/>
      </w:pPr>
    </w:p>
    <w:p w14:paraId="4D906E72" w14:textId="01BCED54" w:rsidR="00AE2100" w:rsidRDefault="00AE2100" w:rsidP="00AE2100">
      <w:pPr>
        <w:spacing w:line="276" w:lineRule="auto"/>
        <w:jc w:val="left"/>
      </w:pPr>
      <w:r>
        <w:t>Attachment 9.4-1: Budget 2025 Forecast Adjustments – Energy / Meter (GWh)</w:t>
      </w:r>
    </w:p>
    <w:p w14:paraId="38E9F1B1" w14:textId="77777777" w:rsidR="00AE2100" w:rsidRDefault="00AE2100" w:rsidP="00AE2100">
      <w:pPr>
        <w:spacing w:after="200" w:line="276" w:lineRule="auto"/>
        <w:jc w:val="left"/>
      </w:pPr>
    </w:p>
    <w:p w14:paraId="01E9EAD2" w14:textId="6417ECF7" w:rsidR="00AE2100" w:rsidRDefault="00E221F5" w:rsidP="00AE2100">
      <w:pPr>
        <w:spacing w:after="200" w:line="276" w:lineRule="auto"/>
      </w:pPr>
      <w:r w:rsidRPr="00E221F5">
        <w:rPr>
          <w:noProof/>
        </w:rPr>
        <w:drawing>
          <wp:inline distT="0" distB="0" distL="0" distR="0" wp14:anchorId="3DBC5A54" wp14:editId="5C1D0CA1">
            <wp:extent cx="3562350" cy="4257675"/>
            <wp:effectExtent l="0" t="0" r="0" b="9525"/>
            <wp:docPr id="191662470"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3562350" cy="4257675"/>
                    </a:xfrm>
                    <a:prstGeom prst="rect">
                      <a:avLst/>
                    </a:prstGeom>
                    <a:noFill/>
                    <a:ln>
                      <a:noFill/>
                    </a:ln>
                  </pic:spPr>
                </pic:pic>
              </a:graphicData>
            </a:graphic>
          </wp:inline>
        </w:drawing>
      </w:r>
    </w:p>
    <w:p w14:paraId="3D364B85" w14:textId="77777777" w:rsidR="007D23F4" w:rsidRDefault="007D23F4">
      <w:pPr>
        <w:spacing w:after="200" w:line="276" w:lineRule="auto"/>
        <w:jc w:val="left"/>
      </w:pPr>
      <w:r>
        <w:br w:type="page"/>
      </w:r>
    </w:p>
    <w:p w14:paraId="5F715E02" w14:textId="0462DDE2" w:rsidR="00AE2100" w:rsidRDefault="00AE2100" w:rsidP="00AE2100">
      <w:pPr>
        <w:spacing w:line="276" w:lineRule="auto"/>
        <w:jc w:val="left"/>
      </w:pPr>
      <w:r>
        <w:lastRenderedPageBreak/>
        <w:t>Attachment 9.4-2: Budget 2025 Forecast Adjustments – Energy / Generator (GWh)</w:t>
      </w:r>
    </w:p>
    <w:p w14:paraId="1B306CF0" w14:textId="77777777" w:rsidR="00AE2100" w:rsidRDefault="00AE2100" w:rsidP="00AE2100">
      <w:pPr>
        <w:spacing w:after="200" w:line="276" w:lineRule="auto"/>
        <w:jc w:val="left"/>
      </w:pPr>
    </w:p>
    <w:p w14:paraId="2BCFF07B" w14:textId="2FE9CF1A" w:rsidR="00AE2100" w:rsidRDefault="00705779" w:rsidP="00AE2100">
      <w:pPr>
        <w:spacing w:after="200" w:line="276" w:lineRule="auto"/>
      </w:pPr>
      <w:r w:rsidRPr="00705779">
        <w:rPr>
          <w:noProof/>
        </w:rPr>
        <w:drawing>
          <wp:inline distT="0" distB="0" distL="0" distR="0" wp14:anchorId="7C27DB51" wp14:editId="4A690AB9">
            <wp:extent cx="3562350" cy="4257675"/>
            <wp:effectExtent l="0" t="0" r="0" b="9525"/>
            <wp:docPr id="669660311"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3562350" cy="4257675"/>
                    </a:xfrm>
                    <a:prstGeom prst="rect">
                      <a:avLst/>
                    </a:prstGeom>
                    <a:noFill/>
                    <a:ln>
                      <a:noFill/>
                    </a:ln>
                  </pic:spPr>
                </pic:pic>
              </a:graphicData>
            </a:graphic>
          </wp:inline>
        </w:drawing>
      </w:r>
    </w:p>
    <w:p w14:paraId="6349687C" w14:textId="77777777" w:rsidR="00AE2100" w:rsidRDefault="00AE2100" w:rsidP="00AE2100">
      <w:pPr>
        <w:spacing w:after="200" w:line="276" w:lineRule="auto"/>
        <w:jc w:val="left"/>
      </w:pPr>
      <w:r>
        <w:br w:type="page"/>
      </w:r>
    </w:p>
    <w:p w14:paraId="123A5A08" w14:textId="6A530EC0" w:rsidR="00AE2100" w:rsidRDefault="00AE2100" w:rsidP="00AE2100">
      <w:pPr>
        <w:spacing w:line="276" w:lineRule="auto"/>
        <w:jc w:val="left"/>
      </w:pPr>
      <w:r>
        <w:lastRenderedPageBreak/>
        <w:t>Attachment 9.4-3: Budget 2025 Forecast Adjustments – Peak Demand / Generator (MW)</w:t>
      </w:r>
    </w:p>
    <w:p w14:paraId="639C977B" w14:textId="77777777" w:rsidR="00AE2100" w:rsidRDefault="00AE2100" w:rsidP="00AE2100">
      <w:pPr>
        <w:spacing w:after="200" w:line="276" w:lineRule="auto"/>
        <w:jc w:val="left"/>
      </w:pPr>
    </w:p>
    <w:p w14:paraId="096C3AD4" w14:textId="4AB5EA4E" w:rsidR="00AE2100" w:rsidRDefault="00B9117D" w:rsidP="00AE2100">
      <w:pPr>
        <w:spacing w:after="200" w:line="276" w:lineRule="auto"/>
      </w:pPr>
      <w:r w:rsidRPr="00B9117D">
        <w:rPr>
          <w:noProof/>
        </w:rPr>
        <w:drawing>
          <wp:inline distT="0" distB="0" distL="0" distR="0" wp14:anchorId="7B494E74" wp14:editId="17DEFBBD">
            <wp:extent cx="3895725" cy="4448175"/>
            <wp:effectExtent l="0" t="0" r="9525" b="9525"/>
            <wp:docPr id="310927681"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3895725" cy="4448175"/>
                    </a:xfrm>
                    <a:prstGeom prst="rect">
                      <a:avLst/>
                    </a:prstGeom>
                    <a:noFill/>
                    <a:ln>
                      <a:noFill/>
                    </a:ln>
                  </pic:spPr>
                </pic:pic>
              </a:graphicData>
            </a:graphic>
          </wp:inline>
        </w:drawing>
      </w:r>
    </w:p>
    <w:p w14:paraId="4D682427" w14:textId="77777777" w:rsidR="00AE2100" w:rsidRDefault="00AE2100" w:rsidP="006C5F08">
      <w:pPr>
        <w:pStyle w:val="BodyText"/>
        <w:spacing w:line="360" w:lineRule="auto"/>
        <w:jc w:val="both"/>
        <w:rPr>
          <w:b w:val="0"/>
        </w:rPr>
      </w:pPr>
    </w:p>
    <w:p w14:paraId="7E6FD472" w14:textId="5D6AE5FA" w:rsidR="0025745A" w:rsidRPr="00AB4E62" w:rsidRDefault="004056A0" w:rsidP="0025745A">
      <w:pPr>
        <w:pStyle w:val="Heading1"/>
        <w:jc w:val="left"/>
        <w:rPr>
          <w:rFonts w:ascii="Arial" w:hAnsi="Arial" w:cs="Arial"/>
          <w:b/>
          <w:color w:val="auto"/>
        </w:rPr>
      </w:pPr>
      <w:bookmarkStart w:id="524" w:name="_Toc188257181"/>
      <w:bookmarkStart w:id="525" w:name="_Toc188257396"/>
      <w:bookmarkStart w:id="526" w:name="_Toc188257620"/>
      <w:bookmarkStart w:id="527" w:name="_Toc189162630"/>
      <w:r>
        <w:rPr>
          <w:rFonts w:ascii="Arial" w:hAnsi="Arial" w:cs="Arial"/>
          <w:b/>
          <w:color w:val="auto"/>
        </w:rPr>
        <w:t>9</w:t>
      </w:r>
      <w:r w:rsidR="0025745A" w:rsidRPr="00AB4E62">
        <w:rPr>
          <w:rFonts w:ascii="Arial" w:hAnsi="Arial" w:cs="Arial"/>
          <w:b/>
          <w:color w:val="auto"/>
        </w:rPr>
        <w:t>.5</w:t>
      </w:r>
      <w:r w:rsidR="0025745A" w:rsidRPr="00AB4E62">
        <w:rPr>
          <w:rFonts w:ascii="Arial" w:hAnsi="Arial" w:cs="Arial"/>
          <w:b/>
          <w:color w:val="auto"/>
        </w:rPr>
        <w:tab/>
        <w:t>IMPACTS OF APPLIANCE EFFICIENCY STANDARDS</w:t>
      </w:r>
      <w:bookmarkEnd w:id="523"/>
      <w:bookmarkEnd w:id="524"/>
      <w:bookmarkEnd w:id="525"/>
      <w:bookmarkEnd w:id="526"/>
      <w:bookmarkEnd w:id="527"/>
    </w:p>
    <w:p w14:paraId="23361679" w14:textId="77777777" w:rsidR="00AB4E62" w:rsidRDefault="00AB4E62" w:rsidP="006C5F08">
      <w:pPr>
        <w:pStyle w:val="BodyText"/>
        <w:spacing w:after="0" w:line="360" w:lineRule="auto"/>
        <w:jc w:val="left"/>
        <w:rPr>
          <w:b w:val="0"/>
        </w:rPr>
      </w:pPr>
    </w:p>
    <w:p w14:paraId="35E57700" w14:textId="441BBB7B" w:rsidR="00AC13AD" w:rsidRPr="00AB4E62" w:rsidRDefault="00AC13AD" w:rsidP="006C5F08">
      <w:pPr>
        <w:pStyle w:val="BodyText"/>
        <w:spacing w:after="0" w:line="360" w:lineRule="auto"/>
        <w:jc w:val="both"/>
        <w:rPr>
          <w:b w:val="0"/>
        </w:rPr>
      </w:pPr>
      <w:r w:rsidRPr="00C46FDE">
        <w:rPr>
          <w:b w:val="0"/>
        </w:rPr>
        <w:t xml:space="preserve">The efficiency of technologies and devices selected by decision-makers and consumers has a substantial impact on the energy requirements of the forecast. Market forces and conditions, economic valuation, and convenience have considerable impact on the choice of technologies. Various state and federal regulatory bodies and legislation, however, have also made provisions to ensure increases in technology efficiency. </w:t>
      </w:r>
      <w:r w:rsidR="007234DF">
        <w:rPr>
          <w:b w:val="0"/>
        </w:rPr>
        <w:t>N</w:t>
      </w:r>
      <w:r w:rsidRPr="00C46FDE">
        <w:rPr>
          <w:b w:val="0"/>
        </w:rPr>
        <w:t xml:space="preserve">ew </w:t>
      </w:r>
      <w:r w:rsidR="00B44D47">
        <w:rPr>
          <w:b w:val="0"/>
        </w:rPr>
        <w:t xml:space="preserve">standard </w:t>
      </w:r>
      <w:r w:rsidRPr="00C46FDE">
        <w:rPr>
          <w:b w:val="0"/>
        </w:rPr>
        <w:t>review</w:t>
      </w:r>
      <w:r w:rsidR="00B44D47">
        <w:rPr>
          <w:b w:val="0"/>
        </w:rPr>
        <w:t>s</w:t>
      </w:r>
      <w:r w:rsidRPr="00C46FDE">
        <w:rPr>
          <w:b w:val="0"/>
        </w:rPr>
        <w:t xml:space="preserve"> and rule-making proceedings are routinely conducted at the state and federal levels.</w:t>
      </w:r>
      <w:r w:rsidR="00B44D47">
        <w:rPr>
          <w:b w:val="0"/>
        </w:rPr>
        <w:t xml:space="preserve"> </w:t>
      </w:r>
      <w:r w:rsidR="00985875">
        <w:rPr>
          <w:b w:val="0"/>
        </w:rPr>
        <w:t>These new standards</w:t>
      </w:r>
      <w:r w:rsidR="006C10B3">
        <w:rPr>
          <w:b w:val="0"/>
        </w:rPr>
        <w:t xml:space="preserve"> </w:t>
      </w:r>
      <w:r w:rsidR="008A5232">
        <w:rPr>
          <w:b w:val="0"/>
        </w:rPr>
        <w:t xml:space="preserve">ensure that </w:t>
      </w:r>
      <w:r w:rsidR="00770D2B">
        <w:rPr>
          <w:b w:val="0"/>
        </w:rPr>
        <w:t xml:space="preserve">the </w:t>
      </w:r>
      <w:r w:rsidR="00CC7B3E">
        <w:rPr>
          <w:b w:val="0"/>
        </w:rPr>
        <w:t>new</w:t>
      </w:r>
      <w:r w:rsidR="00A1690F">
        <w:rPr>
          <w:b w:val="0"/>
        </w:rPr>
        <w:t xml:space="preserve"> </w:t>
      </w:r>
      <w:r w:rsidR="00F7392C">
        <w:rPr>
          <w:b w:val="0"/>
        </w:rPr>
        <w:t xml:space="preserve">and </w:t>
      </w:r>
      <w:r w:rsidR="00A1690F">
        <w:rPr>
          <w:b w:val="0"/>
        </w:rPr>
        <w:t xml:space="preserve">more efficient </w:t>
      </w:r>
      <w:r w:rsidR="006510AF">
        <w:rPr>
          <w:b w:val="0"/>
        </w:rPr>
        <w:t xml:space="preserve">technologies and </w:t>
      </w:r>
      <w:r w:rsidR="00BE3653">
        <w:rPr>
          <w:b w:val="0"/>
        </w:rPr>
        <w:t xml:space="preserve">devices </w:t>
      </w:r>
      <w:r w:rsidR="00404141">
        <w:rPr>
          <w:b w:val="0"/>
        </w:rPr>
        <w:t xml:space="preserve">get adopted over time, as </w:t>
      </w:r>
      <w:r w:rsidR="000832BC">
        <w:rPr>
          <w:b w:val="0"/>
        </w:rPr>
        <w:t xml:space="preserve">the </w:t>
      </w:r>
      <w:r w:rsidR="00404141">
        <w:rPr>
          <w:b w:val="0"/>
        </w:rPr>
        <w:t xml:space="preserve">older </w:t>
      </w:r>
      <w:r w:rsidR="00354B5D">
        <w:rPr>
          <w:b w:val="0"/>
        </w:rPr>
        <w:t xml:space="preserve">technologies and equipment </w:t>
      </w:r>
      <w:r w:rsidR="00DD06B3">
        <w:rPr>
          <w:b w:val="0"/>
        </w:rPr>
        <w:t>get replaced</w:t>
      </w:r>
      <w:r w:rsidR="002F6F4A">
        <w:rPr>
          <w:b w:val="0"/>
        </w:rPr>
        <w:t>.</w:t>
      </w:r>
      <w:r w:rsidR="00632E9C">
        <w:rPr>
          <w:b w:val="0"/>
        </w:rPr>
        <w:t xml:space="preserve"> </w:t>
      </w:r>
      <w:r w:rsidR="00851480">
        <w:rPr>
          <w:b w:val="0"/>
        </w:rPr>
        <w:t xml:space="preserve">This results in </w:t>
      </w:r>
      <w:r w:rsidR="008B4766">
        <w:rPr>
          <w:b w:val="0"/>
        </w:rPr>
        <w:t xml:space="preserve">a reduction in energy usage over time. </w:t>
      </w:r>
      <w:r w:rsidR="00192582">
        <w:rPr>
          <w:b w:val="0"/>
        </w:rPr>
        <w:t xml:space="preserve"> </w:t>
      </w:r>
      <w:r w:rsidR="00C56776">
        <w:rPr>
          <w:b w:val="0"/>
        </w:rPr>
        <w:t xml:space="preserve"> </w:t>
      </w:r>
    </w:p>
    <w:p w14:paraId="3F131C1C" w14:textId="701792D9" w:rsidR="00AC13AD" w:rsidRPr="00AB4E62" w:rsidRDefault="00AC13AD" w:rsidP="006C5F08">
      <w:pPr>
        <w:pStyle w:val="BodyText"/>
        <w:spacing w:after="0" w:line="360" w:lineRule="auto"/>
        <w:jc w:val="both"/>
        <w:rPr>
          <w:b w:val="0"/>
        </w:rPr>
      </w:pPr>
    </w:p>
    <w:p w14:paraId="75AFE66F" w14:textId="5FFE368A" w:rsidR="00196076" w:rsidRDefault="00AC13AD" w:rsidP="00196076">
      <w:pPr>
        <w:pStyle w:val="BodyText"/>
        <w:spacing w:after="0" w:line="360" w:lineRule="auto"/>
        <w:jc w:val="both"/>
        <w:rPr>
          <w:b w:val="0"/>
        </w:rPr>
      </w:pPr>
      <w:r w:rsidRPr="00DC06CE">
        <w:rPr>
          <w:b w:val="0"/>
        </w:rPr>
        <w:lastRenderedPageBreak/>
        <w:t xml:space="preserve">These </w:t>
      </w:r>
      <w:r w:rsidR="003813FC">
        <w:rPr>
          <w:b w:val="0"/>
        </w:rPr>
        <w:t xml:space="preserve">standards </w:t>
      </w:r>
      <w:r w:rsidR="005C492A">
        <w:rPr>
          <w:b w:val="0"/>
        </w:rPr>
        <w:t xml:space="preserve">are often focused </w:t>
      </w:r>
      <w:r w:rsidR="001265E0">
        <w:rPr>
          <w:b w:val="0"/>
        </w:rPr>
        <w:t xml:space="preserve">on the </w:t>
      </w:r>
      <w:r w:rsidR="006E7FFD">
        <w:rPr>
          <w:b w:val="0"/>
        </w:rPr>
        <w:t>end</w:t>
      </w:r>
      <w:r w:rsidR="006362E8">
        <w:rPr>
          <w:b w:val="0"/>
        </w:rPr>
        <w:t xml:space="preserve"> </w:t>
      </w:r>
      <w:r w:rsidR="006E7FFD">
        <w:rPr>
          <w:b w:val="0"/>
        </w:rPr>
        <w:t xml:space="preserve">uses that use the most energy, such as </w:t>
      </w:r>
      <w:r w:rsidR="00EB638D">
        <w:rPr>
          <w:b w:val="0"/>
        </w:rPr>
        <w:t>Heating Ventilation &amp; Air Conditioning (“</w:t>
      </w:r>
      <w:r w:rsidRPr="00DC06CE">
        <w:rPr>
          <w:b w:val="0"/>
        </w:rPr>
        <w:t>HVAC</w:t>
      </w:r>
      <w:r w:rsidR="00EB638D">
        <w:rPr>
          <w:b w:val="0"/>
        </w:rPr>
        <w:t>”)</w:t>
      </w:r>
      <w:r w:rsidRPr="00DC06CE">
        <w:rPr>
          <w:b w:val="0"/>
        </w:rPr>
        <w:t xml:space="preserve"> and lighting technologies. In </w:t>
      </w:r>
      <w:r w:rsidR="0453B393">
        <w:rPr>
          <w:b w:val="0"/>
        </w:rPr>
        <w:t>20</w:t>
      </w:r>
      <w:r w:rsidR="46EF77F5">
        <w:rPr>
          <w:b w:val="0"/>
        </w:rPr>
        <w:t>15</w:t>
      </w:r>
      <w:r w:rsidRPr="00DC06CE">
        <w:rPr>
          <w:b w:val="0"/>
        </w:rPr>
        <w:t xml:space="preserve">, </w:t>
      </w:r>
      <w:r w:rsidR="0453B393">
        <w:rPr>
          <w:b w:val="0"/>
        </w:rPr>
        <w:t>the</w:t>
      </w:r>
      <w:r w:rsidRPr="00DC06CE">
        <w:rPr>
          <w:b w:val="0"/>
        </w:rPr>
        <w:t xml:space="preserve"> minimum </w:t>
      </w:r>
      <w:r>
        <w:rPr>
          <w:b w:val="0"/>
        </w:rPr>
        <w:t>air conditioning</w:t>
      </w:r>
      <w:r w:rsidRPr="00DC06CE">
        <w:rPr>
          <w:b w:val="0"/>
        </w:rPr>
        <w:t xml:space="preserve"> efficiency standard </w:t>
      </w:r>
      <w:r w:rsidR="00B647C8" w:rsidRPr="00DC06CE">
        <w:rPr>
          <w:b w:val="0"/>
        </w:rPr>
        <w:t xml:space="preserve">for the southern </w:t>
      </w:r>
      <w:r w:rsidR="00B647C8">
        <w:rPr>
          <w:b w:val="0"/>
        </w:rPr>
        <w:t>U.S.</w:t>
      </w:r>
      <w:r w:rsidR="00B647C8" w:rsidRPr="00DC06CE">
        <w:rPr>
          <w:b w:val="0"/>
        </w:rPr>
        <w:t xml:space="preserve"> </w:t>
      </w:r>
      <w:r w:rsidRPr="00DC06CE">
        <w:rPr>
          <w:b w:val="0"/>
        </w:rPr>
        <w:t xml:space="preserve">was </w:t>
      </w:r>
      <w:r>
        <w:rPr>
          <w:b w:val="0"/>
        </w:rPr>
        <w:t xml:space="preserve">changed </w:t>
      </w:r>
      <w:r w:rsidRPr="00DC06CE">
        <w:rPr>
          <w:b w:val="0"/>
        </w:rPr>
        <w:t xml:space="preserve">from </w:t>
      </w:r>
      <w:r w:rsidR="00EB638D">
        <w:rPr>
          <w:b w:val="0"/>
        </w:rPr>
        <w:t>a Seasonal Energy Efficiency Ratio (“</w:t>
      </w:r>
      <w:r w:rsidRPr="00DC06CE">
        <w:rPr>
          <w:b w:val="0"/>
        </w:rPr>
        <w:t>SEER</w:t>
      </w:r>
      <w:r w:rsidR="00EB638D">
        <w:rPr>
          <w:b w:val="0"/>
        </w:rPr>
        <w:t>”)</w:t>
      </w:r>
      <w:r w:rsidRPr="00DC06CE">
        <w:rPr>
          <w:b w:val="0"/>
        </w:rPr>
        <w:t xml:space="preserve"> </w:t>
      </w:r>
      <w:r w:rsidR="00F2543E" w:rsidRPr="00DC06CE">
        <w:rPr>
          <w:b w:val="0"/>
        </w:rPr>
        <w:t>to SEER 14.</w:t>
      </w:r>
      <w:r w:rsidR="00F2543E">
        <w:rPr>
          <w:b w:val="0"/>
        </w:rPr>
        <w:t xml:space="preserve"> </w:t>
      </w:r>
      <w:r w:rsidR="00F2543E" w:rsidRPr="003E6764">
        <w:rPr>
          <w:b w:val="0"/>
          <w:bCs/>
        </w:rPr>
        <w:t xml:space="preserve">More recently, </w:t>
      </w:r>
      <w:r w:rsidR="00F2543E">
        <w:rPr>
          <w:b w:val="0"/>
          <w:bCs/>
        </w:rPr>
        <w:t xml:space="preserve">in 2023, </w:t>
      </w:r>
      <w:r w:rsidR="00F2543E" w:rsidRPr="003E6764">
        <w:rPr>
          <w:b w:val="0"/>
          <w:bCs/>
        </w:rPr>
        <w:t>the minimum SEER standard for air conditioning and heat pumps improved from SEER 14 to SEER 15 for the southern U</w:t>
      </w:r>
      <w:r w:rsidR="00F2543E">
        <w:rPr>
          <w:b w:val="0"/>
          <w:bCs/>
        </w:rPr>
        <w:t>.</w:t>
      </w:r>
      <w:r w:rsidR="00F2543E" w:rsidRPr="003E6764">
        <w:rPr>
          <w:b w:val="0"/>
          <w:bCs/>
        </w:rPr>
        <w:t>S.</w:t>
      </w:r>
      <w:r w:rsidR="001D16F5">
        <w:rPr>
          <w:b w:val="0"/>
          <w:bCs/>
        </w:rPr>
        <w:t xml:space="preserve"> </w:t>
      </w:r>
      <w:r w:rsidR="001D16F5">
        <w:rPr>
          <w:b w:val="0"/>
        </w:rPr>
        <w:t xml:space="preserve">In 2016, the DOE finalized new standards for commercial rooftop air conditioning units, which </w:t>
      </w:r>
      <w:r w:rsidR="00062F4F">
        <w:rPr>
          <w:b w:val="0"/>
        </w:rPr>
        <w:t>wa</w:t>
      </w:r>
      <w:r w:rsidR="001D16F5">
        <w:rPr>
          <w:b w:val="0"/>
        </w:rPr>
        <w:t xml:space="preserve">s a two-step process </w:t>
      </w:r>
      <w:r w:rsidR="00704A89">
        <w:rPr>
          <w:b w:val="0"/>
        </w:rPr>
        <w:t>that went</w:t>
      </w:r>
      <w:r w:rsidR="001D16F5">
        <w:rPr>
          <w:b w:val="0"/>
        </w:rPr>
        <w:t xml:space="preserve"> into effect in 2018 and 2023 raising the integrated energy efficiency ratio to higher levels based upon the size of the unit.</w:t>
      </w:r>
      <w:r w:rsidR="00196076">
        <w:rPr>
          <w:b w:val="0"/>
        </w:rPr>
        <w:t xml:space="preserve"> </w:t>
      </w:r>
    </w:p>
    <w:p w14:paraId="61F2961C" w14:textId="77777777" w:rsidR="00CD1E9F" w:rsidRDefault="00CD1E9F" w:rsidP="00196076">
      <w:pPr>
        <w:pStyle w:val="BodyText"/>
        <w:spacing w:after="0" w:line="360" w:lineRule="auto"/>
        <w:jc w:val="both"/>
        <w:rPr>
          <w:b w:val="0"/>
        </w:rPr>
      </w:pPr>
    </w:p>
    <w:p w14:paraId="045E9F21" w14:textId="53B564F0" w:rsidR="009879BB" w:rsidRPr="006B1724" w:rsidRDefault="006D70A6" w:rsidP="009879BB">
      <w:pPr>
        <w:pStyle w:val="BodyText"/>
        <w:spacing w:line="360" w:lineRule="auto"/>
        <w:jc w:val="both"/>
        <w:rPr>
          <w:b w:val="0"/>
          <w:bCs/>
        </w:rPr>
      </w:pPr>
      <w:r>
        <w:rPr>
          <w:b w:val="0"/>
        </w:rPr>
        <w:t xml:space="preserve">Energy efficiency standards </w:t>
      </w:r>
      <w:r w:rsidR="00133E16">
        <w:rPr>
          <w:b w:val="0"/>
        </w:rPr>
        <w:t xml:space="preserve">have also been directed </w:t>
      </w:r>
      <w:r w:rsidR="00973893">
        <w:rPr>
          <w:b w:val="0"/>
        </w:rPr>
        <w:t>at other technologies and</w:t>
      </w:r>
      <w:r w:rsidR="00675578">
        <w:rPr>
          <w:b w:val="0"/>
        </w:rPr>
        <w:t xml:space="preserve"> types of equipment</w:t>
      </w:r>
      <w:r w:rsidR="002A3108">
        <w:rPr>
          <w:b w:val="0"/>
        </w:rPr>
        <w:t>.</w:t>
      </w:r>
      <w:r w:rsidR="00CD1E9F">
        <w:rPr>
          <w:b w:val="0"/>
        </w:rPr>
        <w:t xml:space="preserve"> </w:t>
      </w:r>
      <w:r w:rsidR="00AC13AD" w:rsidRPr="00DC06CE">
        <w:rPr>
          <w:b w:val="0"/>
        </w:rPr>
        <w:t xml:space="preserve">From 2013 to 2015, the Association of Home </w:t>
      </w:r>
      <w:r w:rsidR="00AC13AD">
        <w:rPr>
          <w:b w:val="0"/>
        </w:rPr>
        <w:t>A</w:t>
      </w:r>
      <w:r w:rsidR="00AC13AD" w:rsidRPr="00DC06CE">
        <w:rPr>
          <w:b w:val="0"/>
        </w:rPr>
        <w:t xml:space="preserve">ppliance Manufacturers implemented new efficiency standards for various home appliances. </w:t>
      </w:r>
      <w:r w:rsidR="00D62EB1">
        <w:rPr>
          <w:b w:val="0"/>
        </w:rPr>
        <w:t>For example, i</w:t>
      </w:r>
      <w:r w:rsidR="00AC13AD" w:rsidRPr="00DC06CE">
        <w:rPr>
          <w:b w:val="0"/>
        </w:rPr>
        <w:t xml:space="preserve">n 2014, </w:t>
      </w:r>
      <w:r w:rsidR="00C009C5">
        <w:rPr>
          <w:b w:val="0"/>
        </w:rPr>
        <w:t xml:space="preserve">the </w:t>
      </w:r>
      <w:r w:rsidR="00AC13AD" w:rsidRPr="00DC06CE">
        <w:rPr>
          <w:b w:val="0"/>
        </w:rPr>
        <w:t xml:space="preserve">electric water heater efficiency </w:t>
      </w:r>
      <w:r w:rsidR="00E66799">
        <w:rPr>
          <w:b w:val="0"/>
        </w:rPr>
        <w:t xml:space="preserve">standard </w:t>
      </w:r>
      <w:r w:rsidR="00AC13AD" w:rsidRPr="00DC06CE">
        <w:rPr>
          <w:b w:val="0"/>
        </w:rPr>
        <w:t>improve</w:t>
      </w:r>
      <w:r w:rsidR="00AC13AD">
        <w:rPr>
          <w:b w:val="0"/>
        </w:rPr>
        <w:t>d</w:t>
      </w:r>
      <w:r w:rsidR="00AC13AD" w:rsidRPr="00DC06CE">
        <w:rPr>
          <w:b w:val="0"/>
        </w:rPr>
        <w:t xml:space="preserve"> from 90% to 95%. </w:t>
      </w:r>
      <w:bookmarkStart w:id="528" w:name="_Hlk90901326"/>
      <w:r w:rsidR="00E710D0">
        <w:rPr>
          <w:b w:val="0"/>
        </w:rPr>
        <w:t>I</w:t>
      </w:r>
      <w:r w:rsidR="00AC13AD">
        <w:rPr>
          <w:b w:val="0"/>
        </w:rPr>
        <w:t xml:space="preserve">n 2017, the DOE approved new standards for Walk-In Coolers and Freezers that </w:t>
      </w:r>
      <w:r w:rsidR="0041307A">
        <w:rPr>
          <w:b w:val="0"/>
        </w:rPr>
        <w:t>took</w:t>
      </w:r>
      <w:r w:rsidR="00AC13AD">
        <w:rPr>
          <w:b w:val="0"/>
        </w:rPr>
        <w:t xml:space="preserve"> effect in 2020.</w:t>
      </w:r>
      <w:bookmarkEnd w:id="528"/>
      <w:r w:rsidR="0041307A">
        <w:rPr>
          <w:b w:val="0"/>
        </w:rPr>
        <w:t xml:space="preserve"> </w:t>
      </w:r>
      <w:r w:rsidR="00325EB6">
        <w:rPr>
          <w:b w:val="0"/>
        </w:rPr>
        <w:t xml:space="preserve">Sometimes, standards </w:t>
      </w:r>
      <w:r w:rsidR="00150E2B">
        <w:rPr>
          <w:b w:val="0"/>
        </w:rPr>
        <w:t xml:space="preserve">are </w:t>
      </w:r>
      <w:r w:rsidR="005D110F">
        <w:rPr>
          <w:b w:val="0"/>
        </w:rPr>
        <w:t>introduced more broadly</w:t>
      </w:r>
      <w:r w:rsidR="00402CDE">
        <w:rPr>
          <w:b w:val="0"/>
        </w:rPr>
        <w:t xml:space="preserve"> </w:t>
      </w:r>
      <w:r w:rsidR="00F00003">
        <w:rPr>
          <w:b w:val="0"/>
        </w:rPr>
        <w:t xml:space="preserve">than a single appliance or technology. </w:t>
      </w:r>
      <w:r w:rsidR="0041307A">
        <w:rPr>
          <w:b w:val="0"/>
        </w:rPr>
        <w:t>In Georgia, new residential building codes were implemented on January 1, 2020, requir</w:t>
      </w:r>
      <w:r w:rsidR="00DD5D96">
        <w:rPr>
          <w:b w:val="0"/>
        </w:rPr>
        <w:t>ing</w:t>
      </w:r>
      <w:r w:rsidR="0041307A">
        <w:rPr>
          <w:b w:val="0"/>
        </w:rPr>
        <w:t xml:space="preserve"> new buildings to be much more energy efficient</w:t>
      </w:r>
      <w:r w:rsidR="00FA3D21">
        <w:rPr>
          <w:b w:val="0"/>
        </w:rPr>
        <w:t xml:space="preserve"> </w:t>
      </w:r>
      <w:r w:rsidR="00A93DC3">
        <w:rPr>
          <w:b w:val="0"/>
        </w:rPr>
        <w:t>than under previous codes</w:t>
      </w:r>
      <w:r w:rsidR="0041307A">
        <w:rPr>
          <w:b w:val="0"/>
        </w:rPr>
        <w:t>.</w:t>
      </w:r>
      <w:r w:rsidR="004707D3">
        <w:rPr>
          <w:b w:val="0"/>
        </w:rPr>
        <w:t xml:space="preserve"> </w:t>
      </w:r>
    </w:p>
    <w:p w14:paraId="335600A8" w14:textId="17E31F5D" w:rsidR="00CD6E17" w:rsidRDefault="00CD6E17" w:rsidP="00E63770">
      <w:pPr>
        <w:rPr>
          <w:b w:val="0"/>
        </w:rPr>
      </w:pPr>
    </w:p>
    <w:p w14:paraId="59349DF9" w14:textId="2A53DA19" w:rsidR="00CA3008" w:rsidRPr="00CA3008" w:rsidRDefault="004056A0" w:rsidP="00CA3008">
      <w:pPr>
        <w:pStyle w:val="Heading1"/>
        <w:jc w:val="left"/>
        <w:rPr>
          <w:rFonts w:ascii="Arial" w:hAnsi="Arial" w:cs="Arial"/>
          <w:b/>
          <w:color w:val="auto"/>
        </w:rPr>
      </w:pPr>
      <w:bookmarkStart w:id="529" w:name="_Toc347120475"/>
      <w:bookmarkStart w:id="530" w:name="_Toc188257182"/>
      <w:bookmarkStart w:id="531" w:name="_Toc188257397"/>
      <w:bookmarkStart w:id="532" w:name="_Toc188257621"/>
      <w:bookmarkStart w:id="533" w:name="_Hlk90272108"/>
      <w:bookmarkStart w:id="534" w:name="_Toc189162631"/>
      <w:r>
        <w:rPr>
          <w:rFonts w:ascii="Arial" w:hAnsi="Arial" w:cs="Arial"/>
          <w:b/>
          <w:color w:val="auto"/>
        </w:rPr>
        <w:t>9</w:t>
      </w:r>
      <w:r w:rsidR="00CA3008" w:rsidRPr="00CA3008">
        <w:rPr>
          <w:rFonts w:ascii="Arial" w:hAnsi="Arial" w:cs="Arial"/>
          <w:b/>
          <w:color w:val="auto"/>
        </w:rPr>
        <w:t>.</w:t>
      </w:r>
      <w:r w:rsidR="009C019A">
        <w:rPr>
          <w:rFonts w:ascii="Arial" w:hAnsi="Arial" w:cs="Arial"/>
          <w:b/>
          <w:color w:val="auto"/>
        </w:rPr>
        <w:t>6</w:t>
      </w:r>
      <w:r w:rsidR="00CA3008" w:rsidRPr="00CA3008">
        <w:rPr>
          <w:rFonts w:ascii="Arial" w:hAnsi="Arial" w:cs="Arial"/>
          <w:b/>
          <w:color w:val="auto"/>
        </w:rPr>
        <w:tab/>
        <w:t>RESOURCE SIDE DEMAND SIDE OPTIONS</w:t>
      </w:r>
      <w:bookmarkEnd w:id="529"/>
      <w:bookmarkEnd w:id="530"/>
      <w:bookmarkEnd w:id="531"/>
      <w:bookmarkEnd w:id="532"/>
      <w:bookmarkEnd w:id="534"/>
    </w:p>
    <w:p w14:paraId="529D46B4" w14:textId="77777777" w:rsidR="00CA3008" w:rsidRPr="003A3426" w:rsidRDefault="00CA3008" w:rsidP="00CA3008"/>
    <w:p w14:paraId="76AE3AC8" w14:textId="50C196F0" w:rsidR="00CA3008" w:rsidRPr="00CA3008" w:rsidRDefault="00CA3008" w:rsidP="00714556">
      <w:pPr>
        <w:pStyle w:val="BodyText"/>
        <w:spacing w:line="360" w:lineRule="auto"/>
        <w:jc w:val="both"/>
        <w:rPr>
          <w:b w:val="0"/>
        </w:rPr>
      </w:pPr>
      <w:r w:rsidRPr="00CA3008">
        <w:rPr>
          <w:b w:val="0"/>
        </w:rPr>
        <w:t>Demand Side Options (“DSO”) that are used as capacity resources do not affect the Peak Demand forecast directly. DSOs that fall into this category include</w:t>
      </w:r>
      <w:r w:rsidR="00A0746D">
        <w:rPr>
          <w:b w:val="0"/>
        </w:rPr>
        <w:t xml:space="preserve"> </w:t>
      </w:r>
      <w:r w:rsidR="00991127">
        <w:rPr>
          <w:b w:val="0"/>
          <w:bCs/>
        </w:rPr>
        <w:t>the Demand Plus Energy Credit (“DPEC”) interruptible tariff, Conservation Voltage Reduction (“CVR”), Extreme RTP Response, and the Residential Thermostat Demand Response program</w:t>
      </w:r>
      <w:r w:rsidRPr="00CA3008">
        <w:rPr>
          <w:b w:val="0"/>
        </w:rPr>
        <w:t>.</w:t>
      </w:r>
      <w:bookmarkEnd w:id="533"/>
      <w:r w:rsidR="00616255">
        <w:rPr>
          <w:b w:val="0"/>
        </w:rPr>
        <w:t xml:space="preserve"> </w:t>
      </w:r>
    </w:p>
    <w:p w14:paraId="712BC099" w14:textId="77777777" w:rsidR="00CA3008" w:rsidRPr="003A3426" w:rsidRDefault="00CA3008" w:rsidP="00CA3008">
      <w:pPr>
        <w:pStyle w:val="BodyText"/>
      </w:pPr>
    </w:p>
    <w:p w14:paraId="3688A851" w14:textId="77777777" w:rsidR="00CA3008" w:rsidRPr="003A3426" w:rsidRDefault="00CA3008" w:rsidP="00CA3008">
      <w:pPr>
        <w:pStyle w:val="Heading1"/>
        <w:sectPr w:rsidR="00CA3008" w:rsidRPr="003A3426" w:rsidSect="00C84B7D">
          <w:footerReference w:type="default" r:id="rId116"/>
          <w:pgSz w:w="12240" w:h="15840"/>
          <w:pgMar w:top="1440" w:right="1800" w:bottom="1440" w:left="1260" w:header="720" w:footer="720" w:gutter="0"/>
          <w:cols w:space="720"/>
        </w:sectPr>
      </w:pPr>
    </w:p>
    <w:p w14:paraId="33ADF348" w14:textId="497C0BE9" w:rsidR="00CA3008" w:rsidRPr="00B36B1C" w:rsidRDefault="004056A0" w:rsidP="00CA3008">
      <w:pPr>
        <w:pStyle w:val="Heading1"/>
        <w:jc w:val="left"/>
      </w:pPr>
      <w:bookmarkStart w:id="535" w:name="_Toc497031909"/>
      <w:bookmarkStart w:id="536" w:name="_Toc503665903"/>
      <w:bookmarkStart w:id="537" w:name="_Toc59359835"/>
      <w:bookmarkStart w:id="538" w:name="_Toc347120476"/>
      <w:bookmarkStart w:id="539" w:name="_Toc188257183"/>
      <w:bookmarkStart w:id="540" w:name="_Toc188257398"/>
      <w:bookmarkStart w:id="541" w:name="_Toc188257622"/>
      <w:bookmarkStart w:id="542" w:name="_Toc189162632"/>
      <w:r>
        <w:rPr>
          <w:rFonts w:ascii="Arial" w:hAnsi="Arial" w:cs="Arial"/>
          <w:b/>
          <w:color w:val="auto"/>
        </w:rPr>
        <w:lastRenderedPageBreak/>
        <w:t>10</w:t>
      </w:r>
      <w:r w:rsidR="00CA3008" w:rsidRPr="00CA3008">
        <w:rPr>
          <w:rFonts w:ascii="Arial" w:hAnsi="Arial" w:cs="Arial"/>
          <w:b/>
          <w:color w:val="auto"/>
        </w:rPr>
        <w:t>.0</w:t>
      </w:r>
      <w:r w:rsidR="00CA3008" w:rsidRPr="00CA3008">
        <w:rPr>
          <w:rFonts w:ascii="Arial" w:hAnsi="Arial" w:cs="Arial"/>
          <w:b/>
          <w:color w:val="auto"/>
        </w:rPr>
        <w:tab/>
        <w:t>FINAL IRP REQUIREMENT OVERVIEW</w:t>
      </w:r>
      <w:bookmarkEnd w:id="535"/>
      <w:bookmarkEnd w:id="536"/>
      <w:bookmarkEnd w:id="537"/>
      <w:bookmarkEnd w:id="538"/>
      <w:bookmarkEnd w:id="539"/>
      <w:bookmarkEnd w:id="540"/>
      <w:bookmarkEnd w:id="541"/>
      <w:bookmarkEnd w:id="542"/>
      <w:r w:rsidR="00CA3008" w:rsidRPr="00B36B1C">
        <w:t xml:space="preserve"> </w:t>
      </w:r>
    </w:p>
    <w:p w14:paraId="335AF26A" w14:textId="77777777" w:rsidR="00CA3008" w:rsidRDefault="00CA3008" w:rsidP="00CA3008">
      <w:pPr>
        <w:pStyle w:val="BodyText"/>
      </w:pPr>
    </w:p>
    <w:p w14:paraId="43129D81" w14:textId="00D572B2" w:rsidR="00CA3008" w:rsidRPr="00CA3008" w:rsidRDefault="00CA3008" w:rsidP="00497071">
      <w:pPr>
        <w:pStyle w:val="BodyText"/>
        <w:spacing w:after="0" w:line="360" w:lineRule="auto"/>
        <w:jc w:val="both"/>
        <w:rPr>
          <w:b w:val="0"/>
        </w:rPr>
      </w:pPr>
      <w:r w:rsidRPr="00CA3008">
        <w:rPr>
          <w:b w:val="0"/>
        </w:rPr>
        <w:t xml:space="preserve">This section is a supplement to the Budget </w:t>
      </w:r>
      <w:r w:rsidR="00497071" w:rsidRPr="00CA3008">
        <w:rPr>
          <w:b w:val="0"/>
        </w:rPr>
        <w:t>20</w:t>
      </w:r>
      <w:r w:rsidR="00497071">
        <w:rPr>
          <w:b w:val="0"/>
        </w:rPr>
        <w:t>25</w:t>
      </w:r>
      <w:r w:rsidR="00497071" w:rsidRPr="00CA3008">
        <w:rPr>
          <w:b w:val="0"/>
        </w:rPr>
        <w:t xml:space="preserve"> </w:t>
      </w:r>
      <w:r w:rsidRPr="00CA3008">
        <w:rPr>
          <w:b w:val="0"/>
        </w:rPr>
        <w:t>documentation book (the standard documentation</w:t>
      </w:r>
      <w:r w:rsidR="00383F00">
        <w:rPr>
          <w:b w:val="0"/>
        </w:rPr>
        <w:t xml:space="preserve">) for the Georgia Power </w:t>
      </w:r>
      <w:r w:rsidRPr="00CA3008">
        <w:rPr>
          <w:b w:val="0"/>
        </w:rPr>
        <w:t xml:space="preserve">Budget </w:t>
      </w:r>
      <w:r w:rsidR="00497071" w:rsidRPr="00CA3008">
        <w:rPr>
          <w:b w:val="0"/>
        </w:rPr>
        <w:t>20</w:t>
      </w:r>
      <w:r w:rsidR="00497071">
        <w:rPr>
          <w:b w:val="0"/>
        </w:rPr>
        <w:t>25</w:t>
      </w:r>
      <w:r w:rsidR="00497071" w:rsidRPr="00CA3008">
        <w:rPr>
          <w:b w:val="0"/>
        </w:rPr>
        <w:t xml:space="preserve"> </w:t>
      </w:r>
      <w:r w:rsidRPr="00CA3008">
        <w:rPr>
          <w:b w:val="0"/>
        </w:rPr>
        <w:t>Load and Energy Forecast. It supplements the standard documentation to ensure the IRP rules are completely satisfied.</w:t>
      </w:r>
      <w:r w:rsidR="00616255">
        <w:rPr>
          <w:b w:val="0"/>
        </w:rPr>
        <w:t xml:space="preserve"> </w:t>
      </w:r>
    </w:p>
    <w:p w14:paraId="493B0EA7" w14:textId="24DC175F" w:rsidR="00CA3008" w:rsidRPr="00B36B1C" w:rsidRDefault="004056A0" w:rsidP="00CA3008">
      <w:pPr>
        <w:pStyle w:val="Heading1"/>
        <w:jc w:val="left"/>
      </w:pPr>
      <w:bookmarkStart w:id="543" w:name="_Toc497031911"/>
      <w:bookmarkStart w:id="544" w:name="_Toc503665905"/>
      <w:bookmarkStart w:id="545" w:name="_Toc59359836"/>
      <w:bookmarkStart w:id="546" w:name="_Toc347120477"/>
      <w:bookmarkStart w:id="547" w:name="_Toc188257184"/>
      <w:bookmarkStart w:id="548" w:name="_Toc188257399"/>
      <w:bookmarkStart w:id="549" w:name="_Toc188257623"/>
      <w:bookmarkStart w:id="550" w:name="_Hlk90974929"/>
      <w:bookmarkStart w:id="551" w:name="_Toc189162633"/>
      <w:r>
        <w:rPr>
          <w:rFonts w:ascii="Arial" w:hAnsi="Arial" w:cs="Arial"/>
          <w:b/>
          <w:color w:val="auto"/>
        </w:rPr>
        <w:t>10</w:t>
      </w:r>
      <w:r w:rsidR="00CA3008" w:rsidRPr="00CA3008">
        <w:rPr>
          <w:rFonts w:ascii="Arial" w:hAnsi="Arial" w:cs="Arial"/>
          <w:b/>
          <w:color w:val="auto"/>
        </w:rPr>
        <w:t>.1</w:t>
      </w:r>
      <w:r w:rsidR="00CA3008" w:rsidRPr="00CA3008">
        <w:rPr>
          <w:rFonts w:ascii="Arial" w:hAnsi="Arial" w:cs="Arial"/>
          <w:b/>
          <w:color w:val="auto"/>
        </w:rPr>
        <w:tab/>
        <w:t>DESCRIPTION OF WEATHER NORMALIZATION</w:t>
      </w:r>
      <w:bookmarkEnd w:id="543"/>
      <w:bookmarkEnd w:id="544"/>
      <w:bookmarkEnd w:id="545"/>
      <w:bookmarkEnd w:id="546"/>
      <w:bookmarkEnd w:id="547"/>
      <w:bookmarkEnd w:id="548"/>
      <w:bookmarkEnd w:id="549"/>
      <w:bookmarkEnd w:id="551"/>
    </w:p>
    <w:p w14:paraId="79AE0B69" w14:textId="77777777" w:rsidR="00CA3008" w:rsidRPr="00CA3008" w:rsidRDefault="00CA3008" w:rsidP="00CA3008">
      <w:pPr>
        <w:pStyle w:val="BodyText"/>
        <w:spacing w:line="360" w:lineRule="auto"/>
        <w:jc w:val="left"/>
        <w:rPr>
          <w:b w:val="0"/>
        </w:rPr>
      </w:pPr>
    </w:p>
    <w:p w14:paraId="24F8A6D2" w14:textId="00A373AD" w:rsidR="00CA3008" w:rsidRPr="00CA3008" w:rsidRDefault="00CA3008" w:rsidP="00484AD9">
      <w:pPr>
        <w:pStyle w:val="BodyText"/>
        <w:spacing w:after="0" w:line="360" w:lineRule="auto"/>
        <w:jc w:val="both"/>
        <w:rPr>
          <w:b w:val="0"/>
        </w:rPr>
      </w:pPr>
      <w:bookmarkStart w:id="552" w:name="_Hlk532285113"/>
      <w:r w:rsidRPr="00CA3008">
        <w:rPr>
          <w:b w:val="0"/>
        </w:rPr>
        <w:t>The purpose of weather normalizing energy and peak demand is to isolate the portion of variance between forecasted and actual values that arise from factors other than weather. Methods for accounting for variances from weather for energy are similar to those used for peak demand. Both are appropriate and justifiable.</w:t>
      </w:r>
    </w:p>
    <w:p w14:paraId="72247A83" w14:textId="77777777" w:rsidR="00CA3008" w:rsidRPr="00CA3008" w:rsidRDefault="00CA3008" w:rsidP="00484AD9">
      <w:pPr>
        <w:pStyle w:val="BodyText"/>
        <w:spacing w:after="0" w:line="360" w:lineRule="auto"/>
        <w:jc w:val="both"/>
        <w:rPr>
          <w:b w:val="0"/>
        </w:rPr>
      </w:pPr>
    </w:p>
    <w:p w14:paraId="7C7CE494" w14:textId="5384C88F" w:rsidR="00CA3008" w:rsidRPr="00CA3008" w:rsidRDefault="00CA3008" w:rsidP="00484AD9">
      <w:pPr>
        <w:pStyle w:val="BodyText"/>
        <w:spacing w:after="0" w:line="360" w:lineRule="auto"/>
        <w:jc w:val="both"/>
        <w:rPr>
          <w:b w:val="0"/>
        </w:rPr>
      </w:pPr>
      <w:r w:rsidRPr="00CA3008">
        <w:rPr>
          <w:b w:val="0"/>
        </w:rPr>
        <w:t>Traditionally, energy forecasts are built using econometric models. That is, energy sales may be dependent on some economic</w:t>
      </w:r>
      <w:r w:rsidR="003464B7">
        <w:rPr>
          <w:b w:val="0"/>
        </w:rPr>
        <w:t xml:space="preserve"> and demographic</w:t>
      </w:r>
      <w:r w:rsidRPr="00CA3008">
        <w:rPr>
          <w:b w:val="0"/>
        </w:rPr>
        <w:t xml:space="preserve"> variables and weather. A regression model will yield parameters that explain that relationship. To build an econometric forecast of energy sales requires a forecast for the economic</w:t>
      </w:r>
      <w:r w:rsidR="00677ED3">
        <w:rPr>
          <w:b w:val="0"/>
        </w:rPr>
        <w:t xml:space="preserve"> and demographic</w:t>
      </w:r>
      <w:r w:rsidRPr="00CA3008">
        <w:rPr>
          <w:b w:val="0"/>
        </w:rPr>
        <w:t xml:space="preserve"> variables and weather. For weather, the assumption is that future weather will be </w:t>
      </w:r>
      <w:r w:rsidR="004A414B">
        <w:rPr>
          <w:b w:val="0"/>
        </w:rPr>
        <w:t xml:space="preserve">defined as </w:t>
      </w:r>
      <w:r w:rsidRPr="00CA3008">
        <w:rPr>
          <w:b w:val="0"/>
        </w:rPr>
        <w:t xml:space="preserve">the average of the prior </w:t>
      </w:r>
      <w:r w:rsidR="004A2EC7">
        <w:rPr>
          <w:b w:val="0"/>
        </w:rPr>
        <w:t>44</w:t>
      </w:r>
      <w:r w:rsidR="004A2EC7" w:rsidRPr="00CA3008">
        <w:rPr>
          <w:b w:val="0"/>
        </w:rPr>
        <w:t xml:space="preserve"> </w:t>
      </w:r>
      <w:r w:rsidRPr="00CA3008">
        <w:rPr>
          <w:b w:val="0"/>
        </w:rPr>
        <w:t>years, which is termed “normal weather.” Then, using normal weather with the regression models yields a prediction of energy sales under average weather conditions. To weather normalize after a period is over requires only the actual weather to be used with the model. The difference between the normal weather-predicted energy sales and the actual weather-predicted energy sales is the amount of variance due to weather.</w:t>
      </w:r>
      <w:r w:rsidR="00616255">
        <w:rPr>
          <w:b w:val="0"/>
        </w:rPr>
        <w:t xml:space="preserve"> </w:t>
      </w:r>
    </w:p>
    <w:p w14:paraId="5E59FEAB" w14:textId="77777777" w:rsidR="00CA3008" w:rsidRPr="00CA3008" w:rsidRDefault="00CA3008" w:rsidP="00484AD9">
      <w:pPr>
        <w:pStyle w:val="BodyText"/>
        <w:spacing w:after="0" w:line="360" w:lineRule="auto"/>
        <w:jc w:val="both"/>
        <w:rPr>
          <w:b w:val="0"/>
        </w:rPr>
      </w:pPr>
      <w:r w:rsidRPr="00CA3008">
        <w:rPr>
          <w:b w:val="0"/>
        </w:rPr>
        <w:t xml:space="preserve"> </w:t>
      </w:r>
    </w:p>
    <w:p w14:paraId="2650E64A" w14:textId="70E58767" w:rsidR="00CA3008" w:rsidRPr="00CA3008" w:rsidRDefault="0061480C" w:rsidP="00484AD9">
      <w:pPr>
        <w:pStyle w:val="BodyText"/>
        <w:spacing w:after="0" w:line="360" w:lineRule="auto"/>
        <w:jc w:val="both"/>
        <w:rPr>
          <w:b w:val="0"/>
        </w:rPr>
      </w:pPr>
      <w:bookmarkStart w:id="553" w:name="_Hlk91576127"/>
      <w:r w:rsidRPr="00EA5BB3">
        <w:rPr>
          <w:b w:val="0"/>
          <w:bCs/>
        </w:rPr>
        <w:t xml:space="preserve">Beginning with Budget 2021, MetrixND and Metrix LT were used to develop the hourly peak demand forecast and </w:t>
      </w:r>
      <w:r w:rsidR="000E41C2">
        <w:rPr>
          <w:b w:val="0"/>
          <w:bCs/>
        </w:rPr>
        <w:t>for</w:t>
      </w:r>
      <w:r w:rsidR="000E41C2" w:rsidRPr="00EA5BB3">
        <w:rPr>
          <w:b w:val="0"/>
          <w:bCs/>
        </w:rPr>
        <w:t xml:space="preserve"> </w:t>
      </w:r>
      <w:r w:rsidRPr="00EA5BB3">
        <w:rPr>
          <w:b w:val="0"/>
          <w:bCs/>
        </w:rPr>
        <w:t>weather normalization</w:t>
      </w:r>
      <w:r w:rsidR="00EB79E1">
        <w:rPr>
          <w:b w:val="0"/>
          <w:bCs/>
        </w:rPr>
        <w:t>.</w:t>
      </w:r>
      <w:r>
        <w:rPr>
          <w:rStyle w:val="FootnoteReference"/>
          <w:b w:val="0"/>
          <w:bCs/>
        </w:rPr>
        <w:footnoteReference w:id="10"/>
      </w:r>
      <w:r w:rsidRPr="00EA5BB3">
        <w:rPr>
          <w:b w:val="0"/>
          <w:bCs/>
        </w:rPr>
        <w:t xml:space="preserve"> The peak forecast uses </w:t>
      </w:r>
      <w:r w:rsidR="000E41C2">
        <w:rPr>
          <w:b w:val="0"/>
          <w:bCs/>
        </w:rPr>
        <w:t xml:space="preserve">a </w:t>
      </w:r>
      <w:r w:rsidRPr="00EA5BB3">
        <w:rPr>
          <w:b w:val="0"/>
          <w:bCs/>
        </w:rPr>
        <w:t xml:space="preserve">normal weather assumption for forecasted energies and future weather outcomes. To weather normalize </w:t>
      </w:r>
      <w:r w:rsidR="0065288F">
        <w:rPr>
          <w:b w:val="0"/>
          <w:bCs/>
        </w:rPr>
        <w:t xml:space="preserve">actual </w:t>
      </w:r>
      <w:r w:rsidRPr="00EA5BB3">
        <w:rPr>
          <w:b w:val="0"/>
          <w:bCs/>
        </w:rPr>
        <w:t>peak demand, the forecast model is evaluated under actual and normal weather conditions. The difference between the normal weather-predicted peak demand and the actual weather-predicted peak demand is the amount of variance due to weather. This process is used to weather normalize both the summer and winter peaks.</w:t>
      </w:r>
      <w:bookmarkEnd w:id="550"/>
      <w:bookmarkEnd w:id="552"/>
      <w:bookmarkEnd w:id="553"/>
      <w:r w:rsidR="00616255">
        <w:rPr>
          <w:b w:val="0"/>
        </w:rPr>
        <w:t xml:space="preserve"> </w:t>
      </w:r>
    </w:p>
    <w:p w14:paraId="1BD53994" w14:textId="77777777" w:rsidR="00484AD9" w:rsidRDefault="00484AD9" w:rsidP="004F026C">
      <w:pPr>
        <w:spacing w:line="276" w:lineRule="auto"/>
        <w:jc w:val="left"/>
        <w:rPr>
          <w:rFonts w:eastAsiaTheme="majorEastAsia"/>
          <w:bCs/>
          <w:sz w:val="28"/>
          <w:szCs w:val="28"/>
        </w:rPr>
      </w:pPr>
      <w:bookmarkStart w:id="554" w:name="_Toc347120478"/>
      <w:r>
        <w:rPr>
          <w:b w:val="0"/>
        </w:rPr>
        <w:br w:type="page"/>
      </w:r>
    </w:p>
    <w:p w14:paraId="677A4BA6" w14:textId="3D4F073B" w:rsidR="00CA3008" w:rsidRPr="00CA3008" w:rsidRDefault="004056A0" w:rsidP="00CA3008">
      <w:pPr>
        <w:pStyle w:val="Heading1"/>
        <w:jc w:val="left"/>
        <w:rPr>
          <w:rFonts w:ascii="Arial" w:hAnsi="Arial" w:cs="Arial"/>
          <w:b/>
          <w:color w:val="auto"/>
        </w:rPr>
      </w:pPr>
      <w:bookmarkStart w:id="555" w:name="_Toc188257185"/>
      <w:bookmarkStart w:id="556" w:name="_Toc188257400"/>
      <w:bookmarkStart w:id="557" w:name="_Toc188257624"/>
      <w:bookmarkStart w:id="558" w:name="_Toc189162634"/>
      <w:r>
        <w:rPr>
          <w:rFonts w:ascii="Arial" w:hAnsi="Arial" w:cs="Arial"/>
          <w:b/>
          <w:color w:val="auto"/>
        </w:rPr>
        <w:lastRenderedPageBreak/>
        <w:t>10</w:t>
      </w:r>
      <w:r w:rsidR="00CA3008" w:rsidRPr="00CA3008">
        <w:rPr>
          <w:rFonts w:ascii="Arial" w:hAnsi="Arial" w:cs="Arial"/>
          <w:b/>
          <w:color w:val="auto"/>
        </w:rPr>
        <w:t>.2</w:t>
      </w:r>
      <w:r w:rsidR="00CA3008" w:rsidRPr="00CA3008">
        <w:rPr>
          <w:rFonts w:ascii="Arial" w:hAnsi="Arial" w:cs="Arial"/>
          <w:b/>
          <w:color w:val="auto"/>
        </w:rPr>
        <w:tab/>
        <w:t>REVIEW OF ECONOMIC INPUT AND LOAD PROFILES</w:t>
      </w:r>
      <w:bookmarkEnd w:id="554"/>
      <w:bookmarkEnd w:id="555"/>
      <w:bookmarkEnd w:id="556"/>
      <w:bookmarkEnd w:id="557"/>
      <w:bookmarkEnd w:id="558"/>
    </w:p>
    <w:p w14:paraId="59B501C2" w14:textId="77777777" w:rsidR="00A40E5E" w:rsidRDefault="00A40E5E" w:rsidP="00CA3008">
      <w:pPr>
        <w:spacing w:line="360" w:lineRule="atLeast"/>
        <w:jc w:val="left"/>
        <w:rPr>
          <w:b w:val="0"/>
        </w:rPr>
      </w:pPr>
    </w:p>
    <w:p w14:paraId="1011633E" w14:textId="5C664745" w:rsidR="00CA3008" w:rsidRPr="00675297" w:rsidRDefault="00CA3008" w:rsidP="00714556">
      <w:pPr>
        <w:spacing w:line="360" w:lineRule="atLeast"/>
        <w:jc w:val="both"/>
        <w:rPr>
          <w:b w:val="0"/>
        </w:rPr>
      </w:pPr>
      <w:r w:rsidRPr="00675297">
        <w:rPr>
          <w:b w:val="0"/>
        </w:rPr>
        <w:t xml:space="preserve">Georgia Power’s forecasting organization carefully reviews all forecast inputs from internal and external sources for reasonableness and accuracy and requires </w:t>
      </w:r>
      <w:r w:rsidR="00F3702A">
        <w:rPr>
          <w:b w:val="0"/>
        </w:rPr>
        <w:t xml:space="preserve">data </w:t>
      </w:r>
      <w:r w:rsidRPr="00675297">
        <w:rPr>
          <w:b w:val="0"/>
        </w:rPr>
        <w:t xml:space="preserve">providers to document assumptions and justify results that represent significant deviations from previous trends or expectations. If the supporting documentation or explanation is inadequate, </w:t>
      </w:r>
      <w:r w:rsidR="00B25E86">
        <w:rPr>
          <w:b w:val="0"/>
        </w:rPr>
        <w:t xml:space="preserve">Georgia Power </w:t>
      </w:r>
      <w:r w:rsidRPr="00675297">
        <w:rPr>
          <w:b w:val="0"/>
        </w:rPr>
        <w:t>work</w:t>
      </w:r>
      <w:r w:rsidR="00B25E86">
        <w:rPr>
          <w:b w:val="0"/>
        </w:rPr>
        <w:t>s</w:t>
      </w:r>
      <w:r w:rsidRPr="00675297">
        <w:rPr>
          <w:b w:val="0"/>
        </w:rPr>
        <w:t xml:space="preserve"> with the information provider to reach a</w:t>
      </w:r>
      <w:r w:rsidR="00B25E86">
        <w:rPr>
          <w:b w:val="0"/>
        </w:rPr>
        <w:t xml:space="preserve"> </w:t>
      </w:r>
      <w:r w:rsidR="00B25E86" w:rsidRPr="00675297">
        <w:rPr>
          <w:b w:val="0"/>
        </w:rPr>
        <w:t>mutually agreed upon</w:t>
      </w:r>
      <w:r w:rsidRPr="00675297">
        <w:rPr>
          <w:b w:val="0"/>
        </w:rPr>
        <w:t xml:space="preserve"> </w:t>
      </w:r>
      <w:r w:rsidR="00B25E86">
        <w:rPr>
          <w:b w:val="0"/>
        </w:rPr>
        <w:t>solution</w:t>
      </w:r>
      <w:r w:rsidRPr="00675297">
        <w:rPr>
          <w:b w:val="0"/>
        </w:rPr>
        <w:t>.</w:t>
      </w:r>
    </w:p>
    <w:p w14:paraId="06190D5B" w14:textId="77777777" w:rsidR="00CA3008" w:rsidRPr="00675297" w:rsidRDefault="00CA3008" w:rsidP="00484AD9">
      <w:pPr>
        <w:spacing w:line="360" w:lineRule="atLeast"/>
        <w:jc w:val="both"/>
        <w:rPr>
          <w:b w:val="0"/>
        </w:rPr>
      </w:pPr>
    </w:p>
    <w:p w14:paraId="0A2208A5" w14:textId="467CF8C1" w:rsidR="00CA3008" w:rsidRPr="00675297" w:rsidRDefault="00CA3008" w:rsidP="00714556">
      <w:pPr>
        <w:spacing w:line="360" w:lineRule="atLeast"/>
        <w:jc w:val="both"/>
        <w:rPr>
          <w:b w:val="0"/>
        </w:rPr>
      </w:pPr>
      <w:r w:rsidRPr="00675297">
        <w:rPr>
          <w:b w:val="0"/>
        </w:rPr>
        <w:t xml:space="preserve">For </w:t>
      </w:r>
      <w:r w:rsidR="004655F7">
        <w:rPr>
          <w:b w:val="0"/>
        </w:rPr>
        <w:t xml:space="preserve">Budget </w:t>
      </w:r>
      <w:r w:rsidR="002217EA" w:rsidRPr="00675297">
        <w:rPr>
          <w:b w:val="0"/>
        </w:rPr>
        <w:t>20</w:t>
      </w:r>
      <w:r w:rsidR="002217EA">
        <w:rPr>
          <w:b w:val="0"/>
        </w:rPr>
        <w:t>25</w:t>
      </w:r>
      <w:r w:rsidRPr="00675297">
        <w:rPr>
          <w:b w:val="0"/>
        </w:rPr>
        <w:t xml:space="preserve">, </w:t>
      </w:r>
      <w:r w:rsidR="00B25E86">
        <w:rPr>
          <w:b w:val="0"/>
        </w:rPr>
        <w:t xml:space="preserve">the Georgia Power forecasting group </w:t>
      </w:r>
      <w:r w:rsidRPr="00675297">
        <w:rPr>
          <w:b w:val="0"/>
        </w:rPr>
        <w:t xml:space="preserve">reviewed </w:t>
      </w:r>
      <w:r w:rsidR="002A2154">
        <w:rPr>
          <w:b w:val="0"/>
        </w:rPr>
        <w:t>the</w:t>
      </w:r>
      <w:r w:rsidR="002A2154" w:rsidRPr="00675297">
        <w:rPr>
          <w:b w:val="0"/>
        </w:rPr>
        <w:t xml:space="preserve"> </w:t>
      </w:r>
      <w:r w:rsidRPr="00675297">
        <w:rPr>
          <w:b w:val="0"/>
        </w:rPr>
        <w:t xml:space="preserve">economic forecast inputs provided by </w:t>
      </w:r>
      <w:r w:rsidR="002217EA">
        <w:rPr>
          <w:b w:val="0"/>
        </w:rPr>
        <w:t>S&amp;P Global</w:t>
      </w:r>
      <w:r w:rsidR="00131B5E">
        <w:rPr>
          <w:b w:val="0"/>
        </w:rPr>
        <w:t xml:space="preserve"> </w:t>
      </w:r>
      <w:r w:rsidRPr="00675297">
        <w:rPr>
          <w:b w:val="0"/>
        </w:rPr>
        <w:t>and w</w:t>
      </w:r>
      <w:r w:rsidR="00B25E86">
        <w:rPr>
          <w:b w:val="0"/>
        </w:rPr>
        <w:t>as</w:t>
      </w:r>
      <w:r w:rsidRPr="00675297">
        <w:rPr>
          <w:b w:val="0"/>
        </w:rPr>
        <w:t xml:space="preserve"> satisfied that the economic forecast inputs were reasonable and consistent with those of other </w:t>
      </w:r>
      <w:r w:rsidR="00267150">
        <w:rPr>
          <w:b w:val="0"/>
        </w:rPr>
        <w:t>macro</w:t>
      </w:r>
      <w:r w:rsidRPr="00675297">
        <w:rPr>
          <w:b w:val="0"/>
        </w:rPr>
        <w:t>economic forecasters at the time the energy and load forecasts were developed.</w:t>
      </w:r>
      <w:r w:rsidR="00616255">
        <w:rPr>
          <w:b w:val="0"/>
        </w:rPr>
        <w:t xml:space="preserve"> </w:t>
      </w:r>
    </w:p>
    <w:p w14:paraId="56B25857" w14:textId="77777777" w:rsidR="00CA3008" w:rsidRPr="00675297" w:rsidRDefault="00CA3008" w:rsidP="00484AD9">
      <w:pPr>
        <w:spacing w:line="360" w:lineRule="atLeast"/>
        <w:jc w:val="both"/>
        <w:rPr>
          <w:b w:val="0"/>
        </w:rPr>
      </w:pPr>
    </w:p>
    <w:p w14:paraId="576CDC0B" w14:textId="16DE34E9" w:rsidR="00F55F41" w:rsidRDefault="00CA3008" w:rsidP="0065288F">
      <w:pPr>
        <w:spacing w:line="360" w:lineRule="auto"/>
        <w:jc w:val="both"/>
        <w:rPr>
          <w:b w:val="0"/>
        </w:rPr>
      </w:pPr>
      <w:r w:rsidRPr="00565103">
        <w:rPr>
          <w:b w:val="0"/>
        </w:rPr>
        <w:t>T</w:t>
      </w:r>
      <w:r w:rsidR="00565103">
        <w:rPr>
          <w:b w:val="0"/>
        </w:rPr>
        <w:t>here are t</w:t>
      </w:r>
      <w:r w:rsidRPr="00565103">
        <w:rPr>
          <w:b w:val="0"/>
        </w:rPr>
        <w:t xml:space="preserve">hree areas of particular concern in </w:t>
      </w:r>
      <w:r w:rsidR="00565103">
        <w:rPr>
          <w:b w:val="0"/>
        </w:rPr>
        <w:t>previous IRPs that continue to be monitored</w:t>
      </w:r>
      <w:r w:rsidR="00EB79E1">
        <w:rPr>
          <w:b w:val="0"/>
        </w:rPr>
        <w:t>:</w:t>
      </w:r>
      <w:r w:rsidRPr="00565103">
        <w:rPr>
          <w:b w:val="0"/>
        </w:rPr>
        <w:t xml:space="preserve"> </w:t>
      </w:r>
      <w:r w:rsidR="00EB79E1">
        <w:rPr>
          <w:b w:val="0"/>
        </w:rPr>
        <w:t>(</w:t>
      </w:r>
      <w:r w:rsidRPr="00565103">
        <w:rPr>
          <w:b w:val="0"/>
        </w:rPr>
        <w:t>1) the number of persons per household</w:t>
      </w:r>
      <w:r w:rsidR="00EB79E1">
        <w:rPr>
          <w:b w:val="0"/>
        </w:rPr>
        <w:t>;</w:t>
      </w:r>
      <w:r w:rsidRPr="00565103">
        <w:rPr>
          <w:b w:val="0"/>
        </w:rPr>
        <w:t xml:space="preserve"> </w:t>
      </w:r>
      <w:r w:rsidR="00EB79E1">
        <w:rPr>
          <w:b w:val="0"/>
        </w:rPr>
        <w:t>(</w:t>
      </w:r>
      <w:r w:rsidRPr="00565103">
        <w:rPr>
          <w:b w:val="0"/>
        </w:rPr>
        <w:t>2) growth in average household income</w:t>
      </w:r>
      <w:r w:rsidR="00EB79E1">
        <w:rPr>
          <w:b w:val="0"/>
        </w:rPr>
        <w:t>;</w:t>
      </w:r>
      <w:r w:rsidR="00EB79E1" w:rsidRPr="00565103">
        <w:rPr>
          <w:b w:val="0"/>
        </w:rPr>
        <w:t xml:space="preserve"> </w:t>
      </w:r>
      <w:r w:rsidRPr="00565103">
        <w:rPr>
          <w:b w:val="0"/>
        </w:rPr>
        <w:t xml:space="preserve">and </w:t>
      </w:r>
      <w:r w:rsidR="00EB79E1">
        <w:rPr>
          <w:b w:val="0"/>
        </w:rPr>
        <w:t>(</w:t>
      </w:r>
      <w:r w:rsidRPr="00565103">
        <w:rPr>
          <w:b w:val="0"/>
        </w:rPr>
        <w:t xml:space="preserve">3) the level of miscellaneous household energy consumption. Comparisons of the </w:t>
      </w:r>
      <w:r w:rsidR="002915DB">
        <w:rPr>
          <w:b w:val="0"/>
        </w:rPr>
        <w:t xml:space="preserve">Budget </w:t>
      </w:r>
      <w:r w:rsidR="002217EA" w:rsidRPr="00565103">
        <w:rPr>
          <w:b w:val="0"/>
        </w:rPr>
        <w:t>20</w:t>
      </w:r>
      <w:r w:rsidR="002217EA">
        <w:rPr>
          <w:b w:val="0"/>
        </w:rPr>
        <w:t>22</w:t>
      </w:r>
      <w:r w:rsidR="002217EA" w:rsidRPr="00565103">
        <w:rPr>
          <w:b w:val="0"/>
        </w:rPr>
        <w:t xml:space="preserve"> </w:t>
      </w:r>
      <w:r w:rsidRPr="00565103">
        <w:rPr>
          <w:b w:val="0"/>
        </w:rPr>
        <w:t xml:space="preserve">and </w:t>
      </w:r>
      <w:r w:rsidR="002915DB">
        <w:rPr>
          <w:b w:val="0"/>
        </w:rPr>
        <w:t xml:space="preserve">Budget </w:t>
      </w:r>
      <w:r w:rsidR="002217EA" w:rsidRPr="00565103">
        <w:rPr>
          <w:b w:val="0"/>
        </w:rPr>
        <w:t>20</w:t>
      </w:r>
      <w:r w:rsidR="002217EA">
        <w:rPr>
          <w:b w:val="0"/>
        </w:rPr>
        <w:t>25</w:t>
      </w:r>
      <w:r w:rsidR="002217EA" w:rsidRPr="00565103">
        <w:rPr>
          <w:b w:val="0"/>
        </w:rPr>
        <w:t xml:space="preserve"> </w:t>
      </w:r>
      <w:r w:rsidRPr="00565103">
        <w:rPr>
          <w:b w:val="0"/>
        </w:rPr>
        <w:t xml:space="preserve">assumptions for these three variables are shown in the graphs below. </w:t>
      </w:r>
      <w:r w:rsidR="00F55F41" w:rsidRPr="00565103">
        <w:rPr>
          <w:b w:val="0"/>
        </w:rPr>
        <w:t xml:space="preserve">Other economic data used to prepare </w:t>
      </w:r>
      <w:r w:rsidR="00F55F41">
        <w:rPr>
          <w:b w:val="0"/>
        </w:rPr>
        <w:t xml:space="preserve">Budget </w:t>
      </w:r>
      <w:r w:rsidR="002217EA" w:rsidRPr="00565103">
        <w:rPr>
          <w:b w:val="0"/>
        </w:rPr>
        <w:t>20</w:t>
      </w:r>
      <w:r w:rsidR="002217EA">
        <w:rPr>
          <w:b w:val="0"/>
        </w:rPr>
        <w:t>25</w:t>
      </w:r>
      <w:r w:rsidR="002217EA" w:rsidRPr="00565103">
        <w:rPr>
          <w:b w:val="0"/>
        </w:rPr>
        <w:t xml:space="preserve"> </w:t>
      </w:r>
      <w:r w:rsidR="00F55F41" w:rsidRPr="00565103">
        <w:rPr>
          <w:b w:val="0"/>
        </w:rPr>
        <w:t>are discussed in the various sections pertaining to each of the customer classes.</w:t>
      </w:r>
      <w:r w:rsidR="00F55F41">
        <w:rPr>
          <w:b w:val="0"/>
        </w:rPr>
        <w:t xml:space="preserve"> </w:t>
      </w:r>
    </w:p>
    <w:p w14:paraId="32A420E9" w14:textId="77777777" w:rsidR="00484AD9" w:rsidRDefault="00484AD9" w:rsidP="00484AD9">
      <w:pPr>
        <w:spacing w:after="200" w:line="276" w:lineRule="auto"/>
        <w:jc w:val="left"/>
        <w:rPr>
          <w:b w:val="0"/>
        </w:rPr>
      </w:pPr>
    </w:p>
    <w:p w14:paraId="10CD7A2E" w14:textId="25CCE3C5" w:rsidR="00AA392C" w:rsidRDefault="002A6D69">
      <w:pPr>
        <w:spacing w:after="200" w:line="276" w:lineRule="auto"/>
        <w:rPr>
          <w:b w:val="0"/>
          <w:noProof/>
        </w:rPr>
      </w:pPr>
      <w:r w:rsidRPr="00B241CB">
        <w:rPr>
          <w:b w:val="0"/>
          <w:noProof/>
        </w:rPr>
        <w:drawing>
          <wp:inline distT="0" distB="0" distL="0" distR="0" wp14:anchorId="22E0EF78" wp14:editId="3330B4E4">
            <wp:extent cx="4974336" cy="2770632"/>
            <wp:effectExtent l="0" t="0" r="0" b="0"/>
            <wp:docPr id="9099987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4974336" cy="2770632"/>
                    </a:xfrm>
                    <a:prstGeom prst="rect">
                      <a:avLst/>
                    </a:prstGeom>
                    <a:noFill/>
                    <a:ln>
                      <a:noFill/>
                    </a:ln>
                  </pic:spPr>
                </pic:pic>
              </a:graphicData>
            </a:graphic>
          </wp:inline>
        </w:drawing>
      </w:r>
    </w:p>
    <w:p w14:paraId="61B16280" w14:textId="1E4B96DE" w:rsidR="00F55F41" w:rsidRDefault="0065288F" w:rsidP="00144464">
      <w:pPr>
        <w:spacing w:after="200" w:line="276" w:lineRule="auto"/>
        <w:rPr>
          <w:b w:val="0"/>
        </w:rPr>
      </w:pPr>
      <w:r>
        <w:rPr>
          <w:b w:val="0"/>
        </w:rPr>
        <w:br w:type="page"/>
      </w:r>
    </w:p>
    <w:p w14:paraId="6F4A6D88" w14:textId="3AEDB702" w:rsidR="00F55F41" w:rsidRDefault="00FE2DCB" w:rsidP="00DB7F87">
      <w:pPr>
        <w:spacing w:line="360" w:lineRule="auto"/>
        <w:jc w:val="both"/>
        <w:rPr>
          <w:b w:val="0"/>
          <w:bCs/>
        </w:rPr>
      </w:pPr>
      <w:r>
        <w:rPr>
          <w:b w:val="0"/>
          <w:bCs/>
        </w:rPr>
        <w:lastRenderedPageBreak/>
        <w:t>According to S&amp;P Global,</w:t>
      </w:r>
      <w:r w:rsidR="007F667F">
        <w:rPr>
          <w:b w:val="0"/>
          <w:bCs/>
        </w:rPr>
        <w:t xml:space="preserve"> t</w:t>
      </w:r>
      <w:r w:rsidR="00AD11E7" w:rsidRPr="00472C79">
        <w:rPr>
          <w:b w:val="0"/>
          <w:bCs/>
        </w:rPr>
        <w:t xml:space="preserve">he number of people per household in the state of Georgia </w:t>
      </w:r>
      <w:r w:rsidR="00373E61">
        <w:rPr>
          <w:b w:val="0"/>
          <w:bCs/>
        </w:rPr>
        <w:t xml:space="preserve">used in Budget 2025 </w:t>
      </w:r>
      <w:r w:rsidR="006E0586">
        <w:rPr>
          <w:b w:val="0"/>
          <w:bCs/>
        </w:rPr>
        <w:t>is</w:t>
      </w:r>
      <w:r w:rsidR="00AD11E7">
        <w:rPr>
          <w:b w:val="0"/>
          <w:bCs/>
        </w:rPr>
        <w:t xml:space="preserve"> </w:t>
      </w:r>
      <w:r w:rsidR="00A97616">
        <w:rPr>
          <w:b w:val="0"/>
          <w:bCs/>
        </w:rPr>
        <w:t xml:space="preserve">slightly </w:t>
      </w:r>
      <w:r w:rsidR="00433B5C">
        <w:rPr>
          <w:b w:val="0"/>
          <w:bCs/>
        </w:rPr>
        <w:t xml:space="preserve">lower </w:t>
      </w:r>
      <w:r w:rsidR="00A97616">
        <w:rPr>
          <w:b w:val="0"/>
          <w:bCs/>
        </w:rPr>
        <w:t xml:space="preserve">than in the last </w:t>
      </w:r>
      <w:r w:rsidR="00B73256">
        <w:rPr>
          <w:b w:val="0"/>
          <w:bCs/>
        </w:rPr>
        <w:t>IRP.</w:t>
      </w:r>
      <w:r w:rsidR="00A26101">
        <w:rPr>
          <w:b w:val="0"/>
          <w:bCs/>
        </w:rPr>
        <w:t xml:space="preserve"> </w:t>
      </w:r>
      <w:r w:rsidR="00116234">
        <w:rPr>
          <w:b w:val="0"/>
          <w:bCs/>
        </w:rPr>
        <w:t xml:space="preserve">As discussed </w:t>
      </w:r>
      <w:r w:rsidR="00C75E05">
        <w:rPr>
          <w:b w:val="0"/>
          <w:bCs/>
        </w:rPr>
        <w:t xml:space="preserve">in Section 1.3, </w:t>
      </w:r>
      <w:r w:rsidR="00B73256">
        <w:rPr>
          <w:b w:val="0"/>
          <w:bCs/>
        </w:rPr>
        <w:t xml:space="preserve">the growth in </w:t>
      </w:r>
      <w:r w:rsidR="001A1DF2">
        <w:rPr>
          <w:b w:val="0"/>
          <w:bCs/>
        </w:rPr>
        <w:t>Georgia</w:t>
      </w:r>
      <w:r w:rsidR="0083425D">
        <w:rPr>
          <w:b w:val="0"/>
          <w:bCs/>
        </w:rPr>
        <w:t>’s</w:t>
      </w:r>
      <w:r w:rsidR="00AC0051">
        <w:rPr>
          <w:b w:val="0"/>
          <w:bCs/>
        </w:rPr>
        <w:t xml:space="preserve"> </w:t>
      </w:r>
      <w:r w:rsidR="001A1DF2">
        <w:rPr>
          <w:b w:val="0"/>
          <w:bCs/>
        </w:rPr>
        <w:t xml:space="preserve">population </w:t>
      </w:r>
      <w:r w:rsidR="00CD5C95">
        <w:rPr>
          <w:b w:val="0"/>
          <w:bCs/>
        </w:rPr>
        <w:t xml:space="preserve">puts it </w:t>
      </w:r>
      <w:r w:rsidR="00975B3C">
        <w:rPr>
          <w:b w:val="0"/>
          <w:bCs/>
        </w:rPr>
        <w:t>among the top states</w:t>
      </w:r>
      <w:r w:rsidR="00FD15D5">
        <w:rPr>
          <w:b w:val="0"/>
          <w:bCs/>
        </w:rPr>
        <w:t xml:space="preserve"> in the U</w:t>
      </w:r>
      <w:r w:rsidR="00C75E05">
        <w:rPr>
          <w:b w:val="0"/>
          <w:bCs/>
        </w:rPr>
        <w:t>.</w:t>
      </w:r>
      <w:r w:rsidR="00FD15D5">
        <w:rPr>
          <w:b w:val="0"/>
          <w:bCs/>
        </w:rPr>
        <w:t xml:space="preserve">S. </w:t>
      </w:r>
      <w:r w:rsidR="00D8771C">
        <w:rPr>
          <w:b w:val="0"/>
          <w:bCs/>
        </w:rPr>
        <w:t>However</w:t>
      </w:r>
      <w:r w:rsidR="00BC49FD">
        <w:rPr>
          <w:b w:val="0"/>
          <w:bCs/>
        </w:rPr>
        <w:t xml:space="preserve">, </w:t>
      </w:r>
      <w:r w:rsidR="002F5632">
        <w:rPr>
          <w:b w:val="0"/>
          <w:bCs/>
        </w:rPr>
        <w:t xml:space="preserve">as </w:t>
      </w:r>
      <w:r w:rsidR="00EF6ACF">
        <w:rPr>
          <w:b w:val="0"/>
          <w:bCs/>
        </w:rPr>
        <w:t>U.S. population growth slows</w:t>
      </w:r>
      <w:r w:rsidR="00B43E45">
        <w:rPr>
          <w:b w:val="0"/>
          <w:bCs/>
        </w:rPr>
        <w:t xml:space="preserve"> over the forecast horizon</w:t>
      </w:r>
      <w:r w:rsidR="00EF6ACF">
        <w:rPr>
          <w:b w:val="0"/>
          <w:bCs/>
        </w:rPr>
        <w:t xml:space="preserve">, so will </w:t>
      </w:r>
      <w:r w:rsidR="00A709E7">
        <w:rPr>
          <w:b w:val="0"/>
          <w:bCs/>
        </w:rPr>
        <w:t xml:space="preserve">the growth in </w:t>
      </w:r>
      <w:r w:rsidR="00EF6ACF">
        <w:rPr>
          <w:b w:val="0"/>
          <w:bCs/>
        </w:rPr>
        <w:t xml:space="preserve">Georgia’s </w:t>
      </w:r>
      <w:r w:rsidR="00141406">
        <w:rPr>
          <w:b w:val="0"/>
          <w:bCs/>
        </w:rPr>
        <w:t>population</w:t>
      </w:r>
      <w:r w:rsidR="006D0602">
        <w:rPr>
          <w:b w:val="0"/>
          <w:bCs/>
        </w:rPr>
        <w:t xml:space="preserve"> and </w:t>
      </w:r>
      <w:r>
        <w:rPr>
          <w:b w:val="0"/>
          <w:bCs/>
        </w:rPr>
        <w:t>the</w:t>
      </w:r>
      <w:r w:rsidR="00141406">
        <w:rPr>
          <w:b w:val="0"/>
          <w:bCs/>
        </w:rPr>
        <w:t xml:space="preserve"> number of households.</w:t>
      </w:r>
      <w:r w:rsidR="00616255">
        <w:rPr>
          <w:b w:val="0"/>
          <w:bCs/>
        </w:rPr>
        <w:t xml:space="preserve"> </w:t>
      </w:r>
    </w:p>
    <w:p w14:paraId="2F48EFDD" w14:textId="77777777" w:rsidR="002225E1" w:rsidRPr="00472C79" w:rsidRDefault="002225E1" w:rsidP="00DB7F87">
      <w:pPr>
        <w:spacing w:line="360" w:lineRule="auto"/>
        <w:jc w:val="both"/>
        <w:rPr>
          <w:b w:val="0"/>
          <w:bCs/>
        </w:rPr>
      </w:pPr>
    </w:p>
    <w:p w14:paraId="4635B699" w14:textId="77777777" w:rsidR="00CA3008" w:rsidRPr="00565103" w:rsidRDefault="00CA3008" w:rsidP="00CA3008">
      <w:pPr>
        <w:jc w:val="left"/>
        <w:rPr>
          <w:b w:val="0"/>
        </w:rPr>
      </w:pPr>
    </w:p>
    <w:p w14:paraId="50214E5B" w14:textId="07388D0A" w:rsidR="00AC075C" w:rsidRDefault="00F368AD">
      <w:pPr>
        <w:spacing w:line="276" w:lineRule="auto"/>
        <w:rPr>
          <w:noProof/>
        </w:rPr>
      </w:pPr>
      <w:r w:rsidRPr="002902EA">
        <w:rPr>
          <w:noProof/>
        </w:rPr>
        <w:drawing>
          <wp:inline distT="0" distB="0" distL="0" distR="0" wp14:anchorId="1D9D51D0" wp14:editId="67CD3076">
            <wp:extent cx="4654296" cy="2825496"/>
            <wp:effectExtent l="0" t="0" r="0" b="0"/>
            <wp:docPr id="55242770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4654296" cy="2825496"/>
                    </a:xfrm>
                    <a:prstGeom prst="rect">
                      <a:avLst/>
                    </a:prstGeom>
                    <a:noFill/>
                    <a:ln>
                      <a:noFill/>
                    </a:ln>
                  </pic:spPr>
                </pic:pic>
              </a:graphicData>
            </a:graphic>
          </wp:inline>
        </w:drawing>
      </w:r>
    </w:p>
    <w:p w14:paraId="6BFD96BB" w14:textId="193C34AC" w:rsidR="00F1716C" w:rsidRDefault="00F1716C" w:rsidP="006B1706">
      <w:pPr>
        <w:spacing w:line="276" w:lineRule="auto"/>
        <w:rPr>
          <w:noProof/>
        </w:rPr>
      </w:pPr>
    </w:p>
    <w:p w14:paraId="499EC6E8" w14:textId="67EE76F1" w:rsidR="00565103" w:rsidRDefault="00565103" w:rsidP="009A48EB">
      <w:pPr>
        <w:spacing w:line="276" w:lineRule="auto"/>
      </w:pPr>
    </w:p>
    <w:p w14:paraId="6B419855" w14:textId="70BA0DF3" w:rsidR="008F4942" w:rsidRDefault="0021239F" w:rsidP="0081590A">
      <w:pPr>
        <w:spacing w:after="200" w:line="360" w:lineRule="auto"/>
        <w:jc w:val="both"/>
        <w:rPr>
          <w:b w:val="0"/>
          <w:bCs/>
        </w:rPr>
      </w:pPr>
      <w:r>
        <w:rPr>
          <w:b w:val="0"/>
          <w:bCs/>
        </w:rPr>
        <w:t xml:space="preserve">Georgia’s economy is expected to </w:t>
      </w:r>
      <w:r w:rsidR="00FA7F0C">
        <w:rPr>
          <w:b w:val="0"/>
          <w:bCs/>
        </w:rPr>
        <w:t xml:space="preserve">experience solid economic growth over the forecast horizon of 2024-2044. </w:t>
      </w:r>
      <w:r w:rsidR="009447DC">
        <w:rPr>
          <w:b w:val="0"/>
          <w:bCs/>
        </w:rPr>
        <w:t xml:space="preserve">As a result, </w:t>
      </w:r>
      <w:r w:rsidR="00D25E24">
        <w:rPr>
          <w:b w:val="0"/>
          <w:bCs/>
        </w:rPr>
        <w:t xml:space="preserve">growth in </w:t>
      </w:r>
      <w:r w:rsidR="004C425B">
        <w:rPr>
          <w:b w:val="0"/>
          <w:bCs/>
        </w:rPr>
        <w:t>i</w:t>
      </w:r>
      <w:r w:rsidR="00DA4717" w:rsidRPr="0065288F">
        <w:rPr>
          <w:b w:val="0"/>
          <w:bCs/>
        </w:rPr>
        <w:t xml:space="preserve">ncome per household </w:t>
      </w:r>
      <w:r w:rsidR="00AD4B15">
        <w:rPr>
          <w:b w:val="0"/>
          <w:bCs/>
        </w:rPr>
        <w:t xml:space="preserve">in Budget 2025 </w:t>
      </w:r>
      <w:r w:rsidR="004C425B">
        <w:rPr>
          <w:b w:val="0"/>
          <w:bCs/>
        </w:rPr>
        <w:t>is expected to be on par or</w:t>
      </w:r>
      <w:r w:rsidR="00D25E24">
        <w:rPr>
          <w:b w:val="0"/>
          <w:bCs/>
        </w:rPr>
        <w:t xml:space="preserve"> exceed the</w:t>
      </w:r>
      <w:r w:rsidR="001A2281">
        <w:rPr>
          <w:b w:val="0"/>
          <w:bCs/>
        </w:rPr>
        <w:t xml:space="preserve"> growth in the</w:t>
      </w:r>
      <w:r w:rsidR="00D25E24">
        <w:rPr>
          <w:b w:val="0"/>
          <w:bCs/>
        </w:rPr>
        <w:t xml:space="preserve"> Budget 2022 forecast</w:t>
      </w:r>
      <w:r w:rsidR="004910FA">
        <w:rPr>
          <w:b w:val="0"/>
          <w:bCs/>
        </w:rPr>
        <w:t xml:space="preserve">. </w:t>
      </w:r>
      <w:r w:rsidR="00833B8E">
        <w:rPr>
          <w:b w:val="0"/>
          <w:bCs/>
        </w:rPr>
        <w:t xml:space="preserve">Stronger growth between Budget 2025 and Budget 2022 is </w:t>
      </w:r>
      <w:r w:rsidR="00DB4CE6">
        <w:rPr>
          <w:b w:val="0"/>
          <w:bCs/>
        </w:rPr>
        <w:t xml:space="preserve">partly </w:t>
      </w:r>
      <w:r w:rsidR="0078240F">
        <w:rPr>
          <w:b w:val="0"/>
          <w:bCs/>
        </w:rPr>
        <w:t xml:space="preserve">due to </w:t>
      </w:r>
      <w:r w:rsidR="00DB4CE6">
        <w:rPr>
          <w:b w:val="0"/>
          <w:bCs/>
        </w:rPr>
        <w:t xml:space="preserve">the uncertainty </w:t>
      </w:r>
      <w:r w:rsidR="000D06DC">
        <w:rPr>
          <w:b w:val="0"/>
          <w:bCs/>
        </w:rPr>
        <w:t xml:space="preserve">around </w:t>
      </w:r>
      <w:r w:rsidR="00AC0AB1">
        <w:rPr>
          <w:b w:val="0"/>
          <w:bCs/>
        </w:rPr>
        <w:t xml:space="preserve">how quickly </w:t>
      </w:r>
      <w:r w:rsidR="004029F8">
        <w:rPr>
          <w:b w:val="0"/>
          <w:bCs/>
        </w:rPr>
        <w:t xml:space="preserve">the </w:t>
      </w:r>
      <w:r w:rsidR="00A615DD">
        <w:rPr>
          <w:b w:val="0"/>
          <w:bCs/>
        </w:rPr>
        <w:t xml:space="preserve">economy </w:t>
      </w:r>
      <w:r w:rsidR="00C3385C">
        <w:rPr>
          <w:b w:val="0"/>
          <w:bCs/>
        </w:rPr>
        <w:t xml:space="preserve">and electricity sales </w:t>
      </w:r>
      <w:r w:rsidR="00A615DD">
        <w:rPr>
          <w:b w:val="0"/>
          <w:bCs/>
        </w:rPr>
        <w:t xml:space="preserve">would </w:t>
      </w:r>
      <w:r w:rsidR="004029F8">
        <w:rPr>
          <w:b w:val="0"/>
          <w:bCs/>
        </w:rPr>
        <w:t xml:space="preserve">recover from the </w:t>
      </w:r>
      <w:r w:rsidR="00A615DD">
        <w:rPr>
          <w:b w:val="0"/>
          <w:bCs/>
        </w:rPr>
        <w:t xml:space="preserve">impact </w:t>
      </w:r>
      <w:r w:rsidR="001B0142">
        <w:rPr>
          <w:b w:val="0"/>
          <w:bCs/>
        </w:rPr>
        <w:t xml:space="preserve">of the </w:t>
      </w:r>
      <w:r w:rsidR="000D06DC">
        <w:rPr>
          <w:b w:val="0"/>
          <w:bCs/>
        </w:rPr>
        <w:t>pandemic</w:t>
      </w:r>
      <w:r w:rsidR="00A70B89">
        <w:rPr>
          <w:b w:val="0"/>
          <w:bCs/>
        </w:rPr>
        <w:t xml:space="preserve"> in Budget 2022</w:t>
      </w:r>
      <w:r w:rsidR="009D3DC4">
        <w:rPr>
          <w:b w:val="0"/>
          <w:bCs/>
        </w:rPr>
        <w:t>.</w:t>
      </w:r>
      <w:r w:rsidR="00616255">
        <w:rPr>
          <w:b w:val="0"/>
          <w:bCs/>
        </w:rPr>
        <w:t xml:space="preserve"> </w:t>
      </w:r>
    </w:p>
    <w:p w14:paraId="19A6FA16" w14:textId="7DE787B7" w:rsidR="00CA33B8" w:rsidRDefault="00D12DD0">
      <w:pPr>
        <w:spacing w:after="200" w:line="360" w:lineRule="auto"/>
        <w:rPr>
          <w:noProof/>
        </w:rPr>
      </w:pPr>
      <w:r w:rsidRPr="00C1610C">
        <w:rPr>
          <w:noProof/>
        </w:rPr>
        <w:lastRenderedPageBreak/>
        <w:drawing>
          <wp:inline distT="0" distB="0" distL="0" distR="0" wp14:anchorId="70D1FB7A" wp14:editId="42A9617E">
            <wp:extent cx="4654296" cy="2825496"/>
            <wp:effectExtent l="0" t="0" r="0" b="0"/>
            <wp:docPr id="501273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654296" cy="2825496"/>
                    </a:xfrm>
                    <a:prstGeom prst="rect">
                      <a:avLst/>
                    </a:prstGeom>
                    <a:noFill/>
                    <a:ln>
                      <a:noFill/>
                    </a:ln>
                  </pic:spPr>
                </pic:pic>
              </a:graphicData>
            </a:graphic>
          </wp:inline>
        </w:drawing>
      </w:r>
    </w:p>
    <w:p w14:paraId="088BE72C" w14:textId="77777777" w:rsidR="00D12DD0" w:rsidRDefault="00D12DD0" w:rsidP="00DB7F87">
      <w:pPr>
        <w:spacing w:line="360" w:lineRule="auto"/>
        <w:jc w:val="both"/>
        <w:rPr>
          <w:b w:val="0"/>
        </w:rPr>
      </w:pPr>
    </w:p>
    <w:p w14:paraId="3E138CAC" w14:textId="594D60EA" w:rsidR="00DC74FB" w:rsidRDefault="006823D7" w:rsidP="00DB7F87">
      <w:pPr>
        <w:spacing w:line="360" w:lineRule="auto"/>
        <w:jc w:val="both"/>
        <w:rPr>
          <w:b w:val="0"/>
        </w:rPr>
      </w:pPr>
      <w:r>
        <w:rPr>
          <w:b w:val="0"/>
        </w:rPr>
        <w:t xml:space="preserve">In Budget </w:t>
      </w:r>
      <w:r w:rsidR="00894E7E">
        <w:rPr>
          <w:b w:val="0"/>
        </w:rPr>
        <w:t>2025</w:t>
      </w:r>
      <w:r>
        <w:rPr>
          <w:b w:val="0"/>
        </w:rPr>
        <w:t xml:space="preserve">, Other Energy is </w:t>
      </w:r>
      <w:r w:rsidR="00D33B49">
        <w:rPr>
          <w:b w:val="0"/>
        </w:rPr>
        <w:t xml:space="preserve">a slightly </w:t>
      </w:r>
      <w:r>
        <w:rPr>
          <w:b w:val="0"/>
        </w:rPr>
        <w:t xml:space="preserve">smaller share of total </w:t>
      </w:r>
      <w:r w:rsidR="008E0014">
        <w:rPr>
          <w:b w:val="0"/>
        </w:rPr>
        <w:t xml:space="preserve">residential </w:t>
      </w:r>
      <w:r>
        <w:rPr>
          <w:b w:val="0"/>
        </w:rPr>
        <w:t xml:space="preserve">energy compared to Budget </w:t>
      </w:r>
      <w:r w:rsidR="00894E7E">
        <w:rPr>
          <w:b w:val="0"/>
        </w:rPr>
        <w:t>2022</w:t>
      </w:r>
      <w:r>
        <w:rPr>
          <w:b w:val="0"/>
        </w:rPr>
        <w:t xml:space="preserve">. </w:t>
      </w:r>
      <w:r w:rsidR="00B64F6C">
        <w:rPr>
          <w:b w:val="0"/>
        </w:rPr>
        <w:t xml:space="preserve">Shares remain low </w:t>
      </w:r>
      <w:r w:rsidR="003253D9">
        <w:rPr>
          <w:b w:val="0"/>
        </w:rPr>
        <w:t xml:space="preserve">since </w:t>
      </w:r>
      <w:r>
        <w:rPr>
          <w:b w:val="0"/>
        </w:rPr>
        <w:t>the rebas</w:t>
      </w:r>
      <w:r w:rsidR="009C68FD">
        <w:rPr>
          <w:b w:val="0"/>
        </w:rPr>
        <w:t>e</w:t>
      </w:r>
      <w:r>
        <w:rPr>
          <w:b w:val="0"/>
        </w:rPr>
        <w:t>lining of the LoadMAP models done in Budget 2021. When rebaselining was done, there was a redi</w:t>
      </w:r>
      <w:r w:rsidR="00303329">
        <w:rPr>
          <w:b w:val="0"/>
        </w:rPr>
        <w:t>s</w:t>
      </w:r>
      <w:r>
        <w:rPr>
          <w:b w:val="0"/>
        </w:rPr>
        <w:t xml:space="preserve">tribution of Miscellaneous NEC to </w:t>
      </w:r>
      <w:r w:rsidR="00303329">
        <w:rPr>
          <w:b w:val="0"/>
        </w:rPr>
        <w:t xml:space="preserve">other </w:t>
      </w:r>
      <w:r>
        <w:rPr>
          <w:b w:val="0"/>
        </w:rPr>
        <w:t xml:space="preserve">known technologies. </w:t>
      </w:r>
    </w:p>
    <w:p w14:paraId="41379277" w14:textId="77777777" w:rsidR="00303329" w:rsidRDefault="00303329" w:rsidP="0081590A">
      <w:pPr>
        <w:spacing w:line="360" w:lineRule="auto"/>
        <w:jc w:val="both"/>
        <w:rPr>
          <w:b w:val="0"/>
        </w:rPr>
      </w:pPr>
    </w:p>
    <w:p w14:paraId="419761C1" w14:textId="1BA1301A" w:rsidR="001D3A65" w:rsidRPr="00FB3F46" w:rsidRDefault="00FF136B" w:rsidP="0081590A">
      <w:pPr>
        <w:spacing w:line="360" w:lineRule="auto"/>
        <w:jc w:val="both"/>
        <w:rPr>
          <w:b w:val="0"/>
          <w:bCs/>
        </w:rPr>
      </w:pPr>
      <w:bookmarkStart w:id="559" w:name="_Hlk93148760"/>
      <w:bookmarkStart w:id="560" w:name="_Hlk93511786"/>
      <w:r>
        <w:rPr>
          <w:b w:val="0"/>
          <w:bCs/>
        </w:rPr>
        <w:t xml:space="preserve">To view the historical hourly load profiles for </w:t>
      </w:r>
      <w:r w:rsidR="00283AC3">
        <w:rPr>
          <w:b w:val="0"/>
          <w:bCs/>
        </w:rPr>
        <w:t>2021</w:t>
      </w:r>
      <w:r>
        <w:rPr>
          <w:b w:val="0"/>
          <w:bCs/>
        </w:rPr>
        <w:t>-</w:t>
      </w:r>
      <w:r w:rsidR="00283AC3">
        <w:rPr>
          <w:b w:val="0"/>
          <w:bCs/>
        </w:rPr>
        <w:t>2023</w:t>
      </w:r>
      <w:r>
        <w:rPr>
          <w:b w:val="0"/>
          <w:bCs/>
        </w:rPr>
        <w:t>, p</w:t>
      </w:r>
      <w:r w:rsidR="001D3A65" w:rsidRPr="00FB3F46">
        <w:rPr>
          <w:b w:val="0"/>
          <w:bCs/>
        </w:rPr>
        <w:t xml:space="preserve">lease </w:t>
      </w:r>
      <w:r w:rsidR="001D3A65">
        <w:rPr>
          <w:b w:val="0"/>
          <w:bCs/>
        </w:rPr>
        <w:t xml:space="preserve">see Load and Energy Forecast </w:t>
      </w:r>
      <w:r w:rsidR="004F026C">
        <w:rPr>
          <w:b w:val="0"/>
          <w:bCs/>
        </w:rPr>
        <w:t>“</w:t>
      </w:r>
      <w:r w:rsidR="001D3A65">
        <w:rPr>
          <w:b w:val="0"/>
          <w:bCs/>
        </w:rPr>
        <w:t>Hourly Load Profile Data</w:t>
      </w:r>
      <w:r w:rsidR="004F026C">
        <w:rPr>
          <w:b w:val="0"/>
          <w:bCs/>
        </w:rPr>
        <w:t>.xlsx</w:t>
      </w:r>
      <w:r w:rsidR="00FE7A24">
        <w:rPr>
          <w:b w:val="0"/>
          <w:bCs/>
        </w:rPr>
        <w:t>,</w:t>
      </w:r>
      <w:r w:rsidR="004F026C">
        <w:rPr>
          <w:b w:val="0"/>
          <w:bCs/>
        </w:rPr>
        <w:t>”</w:t>
      </w:r>
      <w:r w:rsidR="00DE19FD">
        <w:rPr>
          <w:b w:val="0"/>
          <w:bCs/>
        </w:rPr>
        <w:t xml:space="preserve"> as filed electronically</w:t>
      </w:r>
      <w:r w:rsidR="001D3A65">
        <w:rPr>
          <w:b w:val="0"/>
          <w:bCs/>
        </w:rPr>
        <w:t>.</w:t>
      </w:r>
      <w:bookmarkEnd w:id="559"/>
      <w:r w:rsidR="001D3A65">
        <w:rPr>
          <w:b w:val="0"/>
          <w:bCs/>
        </w:rPr>
        <w:t xml:space="preserve"> </w:t>
      </w:r>
    </w:p>
    <w:bookmarkEnd w:id="560"/>
    <w:p w14:paraId="66483BC1" w14:textId="6940BF19" w:rsidR="008F3B8E" w:rsidRDefault="008F3B8E">
      <w:pPr>
        <w:spacing w:after="200" w:line="276" w:lineRule="auto"/>
        <w:jc w:val="left"/>
      </w:pPr>
    </w:p>
    <w:p w14:paraId="25C099D7" w14:textId="77777777" w:rsidR="00FE7EA3" w:rsidRDefault="00FE7EA3">
      <w:pPr>
        <w:spacing w:after="200" w:line="276" w:lineRule="auto"/>
        <w:jc w:val="left"/>
        <w:rPr>
          <w:rFonts w:eastAsiaTheme="majorEastAsia"/>
          <w:bCs/>
          <w:sz w:val="28"/>
          <w:szCs w:val="28"/>
        </w:rPr>
      </w:pPr>
      <w:r>
        <w:rPr>
          <w:b w:val="0"/>
        </w:rPr>
        <w:br w:type="page"/>
      </w:r>
    </w:p>
    <w:p w14:paraId="0509340F" w14:textId="2B242C34" w:rsidR="003357DB" w:rsidRDefault="003357DB" w:rsidP="003357DB">
      <w:pPr>
        <w:pStyle w:val="Heading1"/>
        <w:spacing w:before="0"/>
        <w:jc w:val="left"/>
        <w:rPr>
          <w:rFonts w:ascii="Arial" w:hAnsi="Arial" w:cs="Arial"/>
          <w:b/>
          <w:color w:val="auto"/>
        </w:rPr>
      </w:pPr>
      <w:bookmarkStart w:id="561" w:name="_Toc188257186"/>
      <w:bookmarkStart w:id="562" w:name="_Toc188257401"/>
      <w:bookmarkStart w:id="563" w:name="_Toc188257625"/>
      <w:bookmarkStart w:id="564" w:name="_Toc189162635"/>
      <w:r>
        <w:rPr>
          <w:rFonts w:ascii="Arial" w:hAnsi="Arial" w:cs="Arial"/>
          <w:b/>
          <w:color w:val="auto"/>
        </w:rPr>
        <w:lastRenderedPageBreak/>
        <w:t>10.3</w:t>
      </w:r>
      <w:r w:rsidRPr="00CA3008">
        <w:rPr>
          <w:rFonts w:ascii="Arial" w:hAnsi="Arial" w:cs="Arial"/>
          <w:b/>
          <w:color w:val="auto"/>
        </w:rPr>
        <w:tab/>
      </w:r>
      <w:r>
        <w:rPr>
          <w:rFonts w:ascii="Arial" w:hAnsi="Arial" w:cs="Arial"/>
          <w:b/>
          <w:color w:val="auto"/>
        </w:rPr>
        <w:t>ACTUAL &amp; EXPECTED INTERRUPTIBLE DEMAND</w:t>
      </w:r>
      <w:bookmarkEnd w:id="561"/>
      <w:bookmarkEnd w:id="562"/>
      <w:bookmarkEnd w:id="563"/>
      <w:bookmarkEnd w:id="564"/>
    </w:p>
    <w:p w14:paraId="4D1EC52B" w14:textId="77777777" w:rsidR="003357DB" w:rsidRDefault="003357DB" w:rsidP="003357DB">
      <w:pPr>
        <w:jc w:val="left"/>
      </w:pPr>
    </w:p>
    <w:p w14:paraId="3F95DB7B" w14:textId="77777777" w:rsidR="00B043D4" w:rsidRDefault="00B043D4" w:rsidP="003357DB">
      <w:pPr>
        <w:jc w:val="left"/>
      </w:pPr>
    </w:p>
    <w:p w14:paraId="307ED26C" w14:textId="4F5F5129" w:rsidR="003357DB" w:rsidRDefault="003357DB" w:rsidP="003357DB">
      <w:pPr>
        <w:jc w:val="left"/>
      </w:pPr>
      <w:r w:rsidRPr="00B10FB7">
        <w:t xml:space="preserve">Attachment </w:t>
      </w:r>
      <w:r>
        <w:t>10</w:t>
      </w:r>
      <w:r w:rsidRPr="00B10FB7">
        <w:t xml:space="preserve">.3-1: Budget </w:t>
      </w:r>
      <w:r w:rsidR="005D5095" w:rsidRPr="00B10FB7">
        <w:t>20</w:t>
      </w:r>
      <w:r w:rsidR="005D5095">
        <w:t>25</w:t>
      </w:r>
      <w:r w:rsidR="005D5095" w:rsidRPr="00B10FB7">
        <w:t xml:space="preserve"> </w:t>
      </w:r>
      <w:r w:rsidRPr="00B10FB7">
        <w:t>Actual &amp; Expected Interruptible Demand</w:t>
      </w:r>
    </w:p>
    <w:p w14:paraId="65DF2C16" w14:textId="77777777" w:rsidR="00B043D4" w:rsidRDefault="00B043D4" w:rsidP="003357DB">
      <w:pPr>
        <w:jc w:val="left"/>
      </w:pPr>
    </w:p>
    <w:p w14:paraId="0C5B3DDF" w14:textId="77777777" w:rsidR="003357DB" w:rsidRDefault="003357DB" w:rsidP="003357DB">
      <w:pPr>
        <w:jc w:val="left"/>
      </w:pPr>
    </w:p>
    <w:p w14:paraId="2361562D" w14:textId="7D81520D" w:rsidR="003357DB" w:rsidRDefault="003357DB" w:rsidP="003357DB">
      <w:r w:rsidRPr="00F3702A">
        <w:t xml:space="preserve"> </w:t>
      </w:r>
      <w:r w:rsidR="001C6725" w:rsidRPr="001C6725">
        <w:rPr>
          <w:noProof/>
        </w:rPr>
        <w:drawing>
          <wp:inline distT="0" distB="0" distL="0" distR="0" wp14:anchorId="7DF96FC8" wp14:editId="6D6B0F37">
            <wp:extent cx="4682490" cy="5257800"/>
            <wp:effectExtent l="0" t="0" r="3810" b="0"/>
            <wp:docPr id="13212530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4682490" cy="5257800"/>
                    </a:xfrm>
                    <a:prstGeom prst="rect">
                      <a:avLst/>
                    </a:prstGeom>
                    <a:noFill/>
                    <a:ln>
                      <a:noFill/>
                    </a:ln>
                  </pic:spPr>
                </pic:pic>
              </a:graphicData>
            </a:graphic>
          </wp:inline>
        </w:drawing>
      </w:r>
    </w:p>
    <w:p w14:paraId="6833BEBB" w14:textId="77777777" w:rsidR="003357DB" w:rsidRDefault="003357DB" w:rsidP="003357DB">
      <w:pPr>
        <w:jc w:val="left"/>
      </w:pPr>
    </w:p>
    <w:p w14:paraId="73F01339" w14:textId="0D8E5C33" w:rsidR="001C62C2" w:rsidRDefault="001C62C2">
      <w:pPr>
        <w:spacing w:after="200" w:line="276" w:lineRule="auto"/>
        <w:jc w:val="left"/>
        <w:rPr>
          <w:rFonts w:asciiTheme="majorHAnsi" w:eastAsiaTheme="majorEastAsia" w:hAnsiTheme="majorHAnsi" w:cstheme="majorBidi"/>
          <w:b w:val="0"/>
          <w:bCs/>
          <w:color w:val="365F91" w:themeColor="accent1" w:themeShade="BF"/>
          <w:sz w:val="28"/>
          <w:szCs w:val="28"/>
        </w:rPr>
      </w:pPr>
    </w:p>
    <w:p w14:paraId="7143BC16" w14:textId="77777777" w:rsidR="00F97CAA" w:rsidRDefault="00F97CAA">
      <w:pPr>
        <w:spacing w:after="200" w:line="276" w:lineRule="auto"/>
        <w:jc w:val="left"/>
        <w:rPr>
          <w:rFonts w:eastAsiaTheme="majorEastAsia"/>
          <w:bCs/>
          <w:sz w:val="28"/>
          <w:szCs w:val="28"/>
        </w:rPr>
      </w:pPr>
      <w:bookmarkStart w:id="565" w:name="_Toc347120482"/>
      <w:bookmarkStart w:id="566" w:name="_Toc497031916"/>
      <w:bookmarkStart w:id="567" w:name="_Toc503665910"/>
      <w:bookmarkStart w:id="568" w:name="_Toc59359839"/>
      <w:r>
        <w:rPr>
          <w:b w:val="0"/>
        </w:rPr>
        <w:br w:type="page"/>
      </w:r>
    </w:p>
    <w:p w14:paraId="399CFFA4" w14:textId="243DC88E" w:rsidR="00A40E5E" w:rsidRPr="00A40E5E" w:rsidRDefault="004056A0" w:rsidP="00A40E5E">
      <w:pPr>
        <w:pStyle w:val="Heading1"/>
        <w:jc w:val="left"/>
        <w:rPr>
          <w:rFonts w:ascii="Arial" w:hAnsi="Arial" w:cs="Arial"/>
          <w:b/>
          <w:color w:val="auto"/>
        </w:rPr>
      </w:pPr>
      <w:bookmarkStart w:id="569" w:name="_Toc188257187"/>
      <w:bookmarkStart w:id="570" w:name="_Toc188257402"/>
      <w:bookmarkStart w:id="571" w:name="_Toc188257626"/>
      <w:bookmarkStart w:id="572" w:name="_Toc189162636"/>
      <w:r>
        <w:rPr>
          <w:rFonts w:ascii="Arial" w:hAnsi="Arial" w:cs="Arial"/>
          <w:b/>
          <w:color w:val="auto"/>
        </w:rPr>
        <w:lastRenderedPageBreak/>
        <w:t>10</w:t>
      </w:r>
      <w:r w:rsidR="00A40E5E" w:rsidRPr="00A40E5E">
        <w:rPr>
          <w:rFonts w:ascii="Arial" w:hAnsi="Arial" w:cs="Arial"/>
          <w:b/>
          <w:color w:val="auto"/>
        </w:rPr>
        <w:t>.4</w:t>
      </w:r>
      <w:r w:rsidR="00A40E5E" w:rsidRPr="00A40E5E">
        <w:rPr>
          <w:rFonts w:ascii="Arial" w:hAnsi="Arial" w:cs="Arial"/>
          <w:b/>
          <w:color w:val="auto"/>
        </w:rPr>
        <w:tab/>
        <w:t>EVALUATION OF PREVIOUS FORECASTS</w:t>
      </w:r>
      <w:bookmarkEnd w:id="565"/>
      <w:bookmarkEnd w:id="569"/>
      <w:bookmarkEnd w:id="570"/>
      <w:bookmarkEnd w:id="571"/>
      <w:bookmarkEnd w:id="572"/>
      <w:r w:rsidR="00A40E5E" w:rsidRPr="00A40E5E">
        <w:rPr>
          <w:rFonts w:ascii="Arial" w:hAnsi="Arial" w:cs="Arial"/>
          <w:b/>
          <w:color w:val="auto"/>
        </w:rPr>
        <w:t xml:space="preserve"> </w:t>
      </w:r>
      <w:bookmarkEnd w:id="566"/>
      <w:bookmarkEnd w:id="567"/>
      <w:bookmarkEnd w:id="568"/>
    </w:p>
    <w:p w14:paraId="57080B2C" w14:textId="77777777" w:rsidR="00A40E5E" w:rsidRPr="00A40E5E" w:rsidRDefault="00A40E5E" w:rsidP="00A40E5E">
      <w:pPr>
        <w:pStyle w:val="BodyText"/>
        <w:spacing w:line="360" w:lineRule="auto"/>
        <w:jc w:val="left"/>
        <w:rPr>
          <w:b w:val="0"/>
        </w:rPr>
      </w:pPr>
    </w:p>
    <w:p w14:paraId="6AA17398" w14:textId="3C09F893" w:rsidR="00A40E5E" w:rsidRPr="00A40E5E" w:rsidRDefault="00A40E5E" w:rsidP="00075413">
      <w:pPr>
        <w:pStyle w:val="BodyText"/>
        <w:spacing w:after="0" w:line="360" w:lineRule="auto"/>
        <w:jc w:val="both"/>
        <w:rPr>
          <w:b w:val="0"/>
        </w:rPr>
      </w:pPr>
      <w:r w:rsidRPr="00A40E5E">
        <w:rPr>
          <w:b w:val="0"/>
        </w:rPr>
        <w:t xml:space="preserve">This section </w:t>
      </w:r>
      <w:r w:rsidR="00172B52">
        <w:rPr>
          <w:b w:val="0"/>
        </w:rPr>
        <w:t>provid</w:t>
      </w:r>
      <w:r w:rsidR="00172B52" w:rsidRPr="00A40E5E">
        <w:rPr>
          <w:b w:val="0"/>
        </w:rPr>
        <w:t xml:space="preserve">es </w:t>
      </w:r>
      <w:r w:rsidRPr="00A40E5E">
        <w:rPr>
          <w:b w:val="0"/>
        </w:rPr>
        <w:t xml:space="preserve">an evaluation of the last four forecasts developed over the past five years. This includes Budget </w:t>
      </w:r>
      <w:r w:rsidR="003357DB" w:rsidRPr="00A40E5E">
        <w:rPr>
          <w:b w:val="0"/>
        </w:rPr>
        <w:t>20</w:t>
      </w:r>
      <w:r w:rsidR="003357DB">
        <w:rPr>
          <w:b w:val="0"/>
        </w:rPr>
        <w:t>20</w:t>
      </w:r>
      <w:r w:rsidRPr="00A40E5E">
        <w:rPr>
          <w:b w:val="0"/>
        </w:rPr>
        <w:t xml:space="preserve">, Budget </w:t>
      </w:r>
      <w:r w:rsidR="003357DB" w:rsidRPr="00A40E5E">
        <w:rPr>
          <w:b w:val="0"/>
        </w:rPr>
        <w:t>20</w:t>
      </w:r>
      <w:r w:rsidR="003357DB">
        <w:rPr>
          <w:b w:val="0"/>
        </w:rPr>
        <w:t>21</w:t>
      </w:r>
      <w:r w:rsidRPr="00A40E5E">
        <w:rPr>
          <w:b w:val="0"/>
        </w:rPr>
        <w:t xml:space="preserve">, Budget </w:t>
      </w:r>
      <w:r w:rsidR="003357DB" w:rsidRPr="00A40E5E">
        <w:rPr>
          <w:b w:val="0"/>
        </w:rPr>
        <w:t>20</w:t>
      </w:r>
      <w:r w:rsidR="003357DB">
        <w:rPr>
          <w:b w:val="0"/>
        </w:rPr>
        <w:t>22</w:t>
      </w:r>
      <w:r w:rsidRPr="00A40E5E">
        <w:rPr>
          <w:b w:val="0"/>
        </w:rPr>
        <w:t xml:space="preserve">, and Budget </w:t>
      </w:r>
      <w:r w:rsidR="003357DB" w:rsidRPr="00A40E5E">
        <w:rPr>
          <w:b w:val="0"/>
        </w:rPr>
        <w:t>20</w:t>
      </w:r>
      <w:r w:rsidR="003357DB">
        <w:rPr>
          <w:b w:val="0"/>
        </w:rPr>
        <w:t>23</w:t>
      </w:r>
      <w:r w:rsidRPr="00A40E5E">
        <w:rPr>
          <w:b w:val="0"/>
        </w:rPr>
        <w:t xml:space="preserve">. This section </w:t>
      </w:r>
      <w:r w:rsidR="00272249">
        <w:rPr>
          <w:b w:val="0"/>
        </w:rPr>
        <w:t>includes</w:t>
      </w:r>
      <w:r w:rsidRPr="00A40E5E">
        <w:rPr>
          <w:b w:val="0"/>
        </w:rPr>
        <w:t xml:space="preserve"> </w:t>
      </w:r>
      <w:r w:rsidR="002710F7">
        <w:rPr>
          <w:b w:val="0"/>
        </w:rPr>
        <w:t xml:space="preserve">quantitative </w:t>
      </w:r>
      <w:r w:rsidRPr="00A40E5E">
        <w:rPr>
          <w:b w:val="0"/>
        </w:rPr>
        <w:t xml:space="preserve">comparisons of actual and weather normalized energy and demand to the various </w:t>
      </w:r>
      <w:r w:rsidR="001E4724">
        <w:rPr>
          <w:b w:val="0"/>
        </w:rPr>
        <w:t>b</w:t>
      </w:r>
      <w:r w:rsidRPr="00A40E5E">
        <w:rPr>
          <w:b w:val="0"/>
        </w:rPr>
        <w:t xml:space="preserve">udgets. This section also </w:t>
      </w:r>
      <w:r w:rsidR="002728E2">
        <w:rPr>
          <w:b w:val="0"/>
        </w:rPr>
        <w:t>provides</w:t>
      </w:r>
      <w:r w:rsidRPr="00A40E5E">
        <w:rPr>
          <w:b w:val="0"/>
        </w:rPr>
        <w:t xml:space="preserve"> a qualitative assessment of the general changes that were made in the development of each forecast</w:t>
      </w:r>
      <w:r w:rsidR="000F67C3">
        <w:rPr>
          <w:b w:val="0"/>
        </w:rPr>
        <w:t xml:space="preserve">, as well as </w:t>
      </w:r>
      <w:r w:rsidRPr="00A40E5E">
        <w:rPr>
          <w:b w:val="0"/>
        </w:rPr>
        <w:t>the specific major changes that have been made in the development of recent forecasts.</w:t>
      </w:r>
    </w:p>
    <w:p w14:paraId="4EDC7B8A" w14:textId="77777777" w:rsidR="00A40E5E" w:rsidRPr="00A40E5E" w:rsidRDefault="00A40E5E" w:rsidP="00075413">
      <w:pPr>
        <w:pStyle w:val="BodyText"/>
        <w:spacing w:after="0" w:line="360" w:lineRule="auto"/>
        <w:jc w:val="both"/>
        <w:rPr>
          <w:b w:val="0"/>
        </w:rPr>
      </w:pPr>
    </w:p>
    <w:p w14:paraId="7B7C377E" w14:textId="3FF35204" w:rsidR="00A40E5E" w:rsidRPr="00A40E5E" w:rsidRDefault="00A40E5E" w:rsidP="00075413">
      <w:pPr>
        <w:pStyle w:val="BodyText"/>
        <w:spacing w:after="0" w:line="360" w:lineRule="auto"/>
        <w:jc w:val="both"/>
        <w:rPr>
          <w:b w:val="0"/>
        </w:rPr>
      </w:pPr>
      <w:r w:rsidRPr="00A40E5E">
        <w:rPr>
          <w:b w:val="0"/>
        </w:rPr>
        <w:t xml:space="preserve">Georgia Power monitors the performance of the current forecast </w:t>
      </w:r>
      <w:r w:rsidR="00C43390">
        <w:rPr>
          <w:b w:val="0"/>
        </w:rPr>
        <w:t>on a</w:t>
      </w:r>
      <w:r w:rsidRPr="00A40E5E">
        <w:rPr>
          <w:b w:val="0"/>
        </w:rPr>
        <w:t xml:space="preserve"> month</w:t>
      </w:r>
      <w:r w:rsidR="00C43390">
        <w:rPr>
          <w:b w:val="0"/>
        </w:rPr>
        <w:t>ly basis</w:t>
      </w:r>
      <w:r w:rsidRPr="00A40E5E">
        <w:rPr>
          <w:b w:val="0"/>
        </w:rPr>
        <w:t xml:space="preserve">. This is done through a forecast variance report. The monthly forecast variance report compares the forecast of class sales for the current month to the actual class sales of the current month. This report also identifies how much </w:t>
      </w:r>
      <w:r w:rsidR="00C43390">
        <w:rPr>
          <w:b w:val="0"/>
        </w:rPr>
        <w:t xml:space="preserve">of the </w:t>
      </w:r>
      <w:r w:rsidRPr="00A40E5E">
        <w:rPr>
          <w:b w:val="0"/>
        </w:rPr>
        <w:t xml:space="preserve">energy </w:t>
      </w:r>
      <w:r w:rsidR="00C43390">
        <w:rPr>
          <w:b w:val="0"/>
        </w:rPr>
        <w:t xml:space="preserve">variance </w:t>
      </w:r>
      <w:r w:rsidRPr="00A40E5E">
        <w:rPr>
          <w:b w:val="0"/>
        </w:rPr>
        <w:t xml:space="preserve">is a result of the deviation between the actual weather conditions for the month and those used in the forecast. </w:t>
      </w:r>
      <w:r w:rsidR="0017452A">
        <w:rPr>
          <w:b w:val="0"/>
        </w:rPr>
        <w:t>A</w:t>
      </w:r>
      <w:r w:rsidRPr="00A40E5E">
        <w:rPr>
          <w:b w:val="0"/>
        </w:rPr>
        <w:t xml:space="preserve">ctual </w:t>
      </w:r>
      <w:r w:rsidR="0017452A">
        <w:rPr>
          <w:b w:val="0"/>
        </w:rPr>
        <w:t xml:space="preserve">and weather normalized actual </w:t>
      </w:r>
      <w:r w:rsidRPr="00A40E5E">
        <w:rPr>
          <w:b w:val="0"/>
        </w:rPr>
        <w:t>sales (by class) are compared to the</w:t>
      </w:r>
      <w:r w:rsidR="0017452A">
        <w:rPr>
          <w:b w:val="0"/>
        </w:rPr>
        <w:t xml:space="preserve"> energy</w:t>
      </w:r>
      <w:r w:rsidRPr="00A40E5E">
        <w:rPr>
          <w:b w:val="0"/>
        </w:rPr>
        <w:t xml:space="preserve"> forecast. Reports of this </w:t>
      </w:r>
      <w:r w:rsidR="008E66AE">
        <w:rPr>
          <w:b w:val="0"/>
        </w:rPr>
        <w:t>type</w:t>
      </w:r>
      <w:r w:rsidRPr="00A40E5E">
        <w:rPr>
          <w:b w:val="0"/>
        </w:rPr>
        <w:t xml:space="preserve"> help detect deviations from </w:t>
      </w:r>
      <w:r w:rsidR="00397710">
        <w:rPr>
          <w:b w:val="0"/>
        </w:rPr>
        <w:t xml:space="preserve">the </w:t>
      </w:r>
      <w:r w:rsidRPr="00A40E5E">
        <w:rPr>
          <w:b w:val="0"/>
        </w:rPr>
        <w:t xml:space="preserve">forecast and help identify discrepancies that may be systematic. </w:t>
      </w:r>
    </w:p>
    <w:p w14:paraId="6769DF39" w14:textId="77777777" w:rsidR="00A40E5E" w:rsidRPr="00A40E5E" w:rsidRDefault="00A40E5E" w:rsidP="00075413">
      <w:pPr>
        <w:pStyle w:val="BodyText"/>
        <w:spacing w:after="0" w:line="360" w:lineRule="auto"/>
        <w:jc w:val="both"/>
        <w:rPr>
          <w:b w:val="0"/>
        </w:rPr>
      </w:pPr>
    </w:p>
    <w:p w14:paraId="63A570AF" w14:textId="3D2D6D78" w:rsidR="00A40E5E" w:rsidRPr="00A40E5E" w:rsidRDefault="00A40E5E" w:rsidP="00075413">
      <w:pPr>
        <w:pStyle w:val="BodyText"/>
        <w:spacing w:after="0" w:line="360" w:lineRule="auto"/>
        <w:jc w:val="both"/>
        <w:rPr>
          <w:b w:val="0"/>
        </w:rPr>
      </w:pPr>
      <w:r w:rsidRPr="00A40E5E">
        <w:rPr>
          <w:b w:val="0"/>
        </w:rPr>
        <w:t xml:space="preserve">Certain changes are made from year to year in response to </w:t>
      </w:r>
      <w:r w:rsidR="00914867">
        <w:rPr>
          <w:b w:val="0"/>
        </w:rPr>
        <w:t xml:space="preserve">the evaluation of </w:t>
      </w:r>
      <w:r w:rsidRPr="00A40E5E">
        <w:rPr>
          <w:b w:val="0"/>
        </w:rPr>
        <w:t xml:space="preserve">previous forecasts, </w:t>
      </w:r>
      <w:r w:rsidR="00914867">
        <w:rPr>
          <w:b w:val="0"/>
        </w:rPr>
        <w:t xml:space="preserve">in order to </w:t>
      </w:r>
      <w:r w:rsidR="00914867" w:rsidRPr="00A40E5E">
        <w:rPr>
          <w:b w:val="0"/>
        </w:rPr>
        <w:t>incorporat</w:t>
      </w:r>
      <w:r w:rsidR="00914867">
        <w:rPr>
          <w:b w:val="0"/>
        </w:rPr>
        <w:t>e</w:t>
      </w:r>
      <w:r w:rsidR="00914867" w:rsidRPr="00A40E5E">
        <w:rPr>
          <w:b w:val="0"/>
        </w:rPr>
        <w:t xml:space="preserve"> </w:t>
      </w:r>
      <w:r w:rsidRPr="00A40E5E">
        <w:rPr>
          <w:b w:val="0"/>
        </w:rPr>
        <w:t xml:space="preserve">additional information, and </w:t>
      </w:r>
      <w:r w:rsidR="00914867">
        <w:rPr>
          <w:b w:val="0"/>
        </w:rPr>
        <w:t xml:space="preserve">to </w:t>
      </w:r>
      <w:r w:rsidRPr="00A40E5E">
        <w:rPr>
          <w:b w:val="0"/>
        </w:rPr>
        <w:t>meet new or enhanced informational needs. These changes are generally described in two categories: (1) general activities and procedures used to produce new forecasts and (2) specific enhancements made to improve the forecasts.</w:t>
      </w:r>
    </w:p>
    <w:p w14:paraId="5CE0E7C1" w14:textId="77777777" w:rsidR="00A40E5E" w:rsidRPr="00A40E5E" w:rsidRDefault="00A40E5E" w:rsidP="00075413">
      <w:pPr>
        <w:pStyle w:val="BodyText"/>
        <w:spacing w:after="0" w:line="360" w:lineRule="auto"/>
        <w:jc w:val="both"/>
        <w:rPr>
          <w:b w:val="0"/>
        </w:rPr>
      </w:pPr>
    </w:p>
    <w:p w14:paraId="3B27AC75" w14:textId="6E3E446E" w:rsidR="00A40E5E" w:rsidRDefault="00A40E5E" w:rsidP="0067082D">
      <w:pPr>
        <w:pStyle w:val="BodyText"/>
        <w:spacing w:after="0" w:line="360" w:lineRule="auto"/>
        <w:jc w:val="both"/>
        <w:rPr>
          <w:b w:val="0"/>
        </w:rPr>
      </w:pPr>
      <w:r w:rsidRPr="00A40E5E">
        <w:rPr>
          <w:b w:val="0"/>
        </w:rPr>
        <w:t xml:space="preserve">Attachment </w:t>
      </w:r>
      <w:r w:rsidR="003357DB">
        <w:rPr>
          <w:b w:val="0"/>
        </w:rPr>
        <w:t>10</w:t>
      </w:r>
      <w:r w:rsidRPr="00A40E5E">
        <w:rPr>
          <w:b w:val="0"/>
        </w:rPr>
        <w:t xml:space="preserve">.4-1 shows comparisons of actual and weather adjusted energy versus budget by class of service for Georgia Power. The </w:t>
      </w:r>
      <w:r w:rsidR="007D5BF6">
        <w:rPr>
          <w:b w:val="0"/>
        </w:rPr>
        <w:t>table</w:t>
      </w:r>
      <w:r w:rsidR="007D5BF6" w:rsidRPr="00A40E5E">
        <w:rPr>
          <w:b w:val="0"/>
        </w:rPr>
        <w:t xml:space="preserve"> </w:t>
      </w:r>
      <w:r w:rsidRPr="00A40E5E">
        <w:rPr>
          <w:b w:val="0"/>
        </w:rPr>
        <w:t xml:space="preserve">contains comparisons for </w:t>
      </w:r>
      <w:r w:rsidR="00B92B53">
        <w:rPr>
          <w:b w:val="0"/>
        </w:rPr>
        <w:t xml:space="preserve">territorial, </w:t>
      </w:r>
      <w:r w:rsidR="0047799A">
        <w:rPr>
          <w:b w:val="0"/>
        </w:rPr>
        <w:t xml:space="preserve">retail, </w:t>
      </w:r>
      <w:r w:rsidRPr="00A40E5E">
        <w:rPr>
          <w:b w:val="0"/>
        </w:rPr>
        <w:t xml:space="preserve">residential, commercial, industrial, </w:t>
      </w:r>
      <w:r w:rsidR="00AD2942">
        <w:rPr>
          <w:b w:val="0"/>
        </w:rPr>
        <w:t>governmental</w:t>
      </w:r>
      <w:r w:rsidR="00AD2942" w:rsidRPr="00A40E5E">
        <w:rPr>
          <w:b w:val="0"/>
        </w:rPr>
        <w:t xml:space="preserve"> </w:t>
      </w:r>
      <w:r w:rsidRPr="00A40E5E">
        <w:rPr>
          <w:b w:val="0"/>
        </w:rPr>
        <w:t xml:space="preserve">lighting, </w:t>
      </w:r>
      <w:r w:rsidR="0047799A">
        <w:rPr>
          <w:b w:val="0"/>
        </w:rPr>
        <w:t xml:space="preserve">and </w:t>
      </w:r>
      <w:r w:rsidRPr="00A40E5E">
        <w:rPr>
          <w:b w:val="0"/>
        </w:rPr>
        <w:t>MARTA</w:t>
      </w:r>
      <w:r w:rsidR="000431F2">
        <w:rPr>
          <w:b w:val="0"/>
        </w:rPr>
        <w:t xml:space="preserve"> energy</w:t>
      </w:r>
      <w:r w:rsidR="00C20C09">
        <w:rPr>
          <w:b w:val="0"/>
        </w:rPr>
        <w:t xml:space="preserve"> sales</w:t>
      </w:r>
      <w:r w:rsidRPr="00A40E5E">
        <w:rPr>
          <w:b w:val="0"/>
        </w:rPr>
        <w:t>.</w:t>
      </w:r>
    </w:p>
    <w:p w14:paraId="4891BC28" w14:textId="77777777" w:rsidR="0002461E" w:rsidRDefault="0002461E" w:rsidP="0067082D">
      <w:pPr>
        <w:pStyle w:val="BodyText"/>
        <w:spacing w:after="0" w:line="360" w:lineRule="auto"/>
        <w:jc w:val="both"/>
        <w:rPr>
          <w:b w:val="0"/>
        </w:rPr>
      </w:pPr>
    </w:p>
    <w:p w14:paraId="7C0FDA12" w14:textId="25F54E11" w:rsidR="00A40E5E" w:rsidRDefault="00550000" w:rsidP="00A40E5E">
      <w:pPr>
        <w:pStyle w:val="BodyText"/>
        <w:spacing w:line="360" w:lineRule="auto"/>
        <w:jc w:val="left"/>
        <w:rPr>
          <w:b w:val="0"/>
        </w:rPr>
      </w:pPr>
      <w:r>
        <w:rPr>
          <w:b w:val="0"/>
        </w:rPr>
        <w:t>Attachments 10</w:t>
      </w:r>
      <w:r w:rsidR="00B6128B">
        <w:rPr>
          <w:b w:val="0"/>
        </w:rPr>
        <w:t>.</w:t>
      </w:r>
      <w:r>
        <w:rPr>
          <w:b w:val="0"/>
        </w:rPr>
        <w:t>4-2 and 10</w:t>
      </w:r>
      <w:r w:rsidR="00B6128B">
        <w:rPr>
          <w:b w:val="0"/>
        </w:rPr>
        <w:t>.</w:t>
      </w:r>
      <w:r>
        <w:rPr>
          <w:b w:val="0"/>
        </w:rPr>
        <w:t>4</w:t>
      </w:r>
      <w:r w:rsidR="00B6128B">
        <w:rPr>
          <w:b w:val="0"/>
        </w:rPr>
        <w:t>-3</w:t>
      </w:r>
      <w:r w:rsidR="006C6D2E">
        <w:rPr>
          <w:b w:val="0"/>
        </w:rPr>
        <w:t xml:space="preserve"> include summer and winter peaks, respectively</w:t>
      </w:r>
      <w:r w:rsidR="00F15E4C">
        <w:rPr>
          <w:b w:val="0"/>
        </w:rPr>
        <w:t xml:space="preserve">, for Budgets 2020 through 2024, and include actual peaks that </w:t>
      </w:r>
      <w:r w:rsidR="00C82E1D">
        <w:rPr>
          <w:b w:val="0"/>
        </w:rPr>
        <w:t>have occurred</w:t>
      </w:r>
      <w:r w:rsidR="001A0C2F">
        <w:rPr>
          <w:b w:val="0"/>
        </w:rPr>
        <w:t xml:space="preserve"> from 2020 - </w:t>
      </w:r>
      <w:r w:rsidR="000960F2">
        <w:rPr>
          <w:b w:val="0"/>
        </w:rPr>
        <w:t>202</w:t>
      </w:r>
      <w:r w:rsidR="0067082D">
        <w:rPr>
          <w:b w:val="0"/>
        </w:rPr>
        <w:t>4</w:t>
      </w:r>
      <w:r w:rsidR="00C82E1D">
        <w:rPr>
          <w:b w:val="0"/>
        </w:rPr>
        <w:t xml:space="preserve">. </w:t>
      </w:r>
      <w:r w:rsidR="003537C0">
        <w:rPr>
          <w:b w:val="0"/>
        </w:rPr>
        <w:t xml:space="preserve">Comparisons of actual </w:t>
      </w:r>
      <w:r w:rsidR="00022A04">
        <w:rPr>
          <w:b w:val="0"/>
        </w:rPr>
        <w:t xml:space="preserve">and budget </w:t>
      </w:r>
      <w:r w:rsidR="002D3872">
        <w:rPr>
          <w:b w:val="0"/>
        </w:rPr>
        <w:t xml:space="preserve">forecast </w:t>
      </w:r>
      <w:r w:rsidR="00C10197">
        <w:rPr>
          <w:b w:val="0"/>
        </w:rPr>
        <w:t xml:space="preserve">summer </w:t>
      </w:r>
      <w:r w:rsidR="00156064">
        <w:rPr>
          <w:b w:val="0"/>
        </w:rPr>
        <w:t xml:space="preserve">and winter peaks </w:t>
      </w:r>
      <w:r w:rsidR="00022A04">
        <w:rPr>
          <w:b w:val="0"/>
        </w:rPr>
        <w:t xml:space="preserve">are found in </w:t>
      </w:r>
      <w:r w:rsidR="002D3872">
        <w:rPr>
          <w:b w:val="0"/>
        </w:rPr>
        <w:t xml:space="preserve">Attachments </w:t>
      </w:r>
      <w:r w:rsidR="00C10197">
        <w:rPr>
          <w:b w:val="0"/>
        </w:rPr>
        <w:t>10.4</w:t>
      </w:r>
      <w:r w:rsidR="00156064">
        <w:rPr>
          <w:b w:val="0"/>
        </w:rPr>
        <w:t>-4 and 10.4-6</w:t>
      </w:r>
      <w:r w:rsidR="00377CB6">
        <w:rPr>
          <w:b w:val="0"/>
        </w:rPr>
        <w:t xml:space="preserve">, while </w:t>
      </w:r>
      <w:r w:rsidR="00B02A22">
        <w:rPr>
          <w:b w:val="0"/>
        </w:rPr>
        <w:t xml:space="preserve">comparisons of </w:t>
      </w:r>
      <w:r w:rsidR="00377CB6">
        <w:rPr>
          <w:b w:val="0"/>
        </w:rPr>
        <w:t xml:space="preserve">weather adjusted actuals and forecasted </w:t>
      </w:r>
      <w:r w:rsidR="00B83A6F">
        <w:rPr>
          <w:b w:val="0"/>
        </w:rPr>
        <w:t>summer and winter peaks are presented in Attachments 10</w:t>
      </w:r>
      <w:r w:rsidR="00A72480">
        <w:rPr>
          <w:b w:val="0"/>
        </w:rPr>
        <w:t>.</w:t>
      </w:r>
      <w:r w:rsidR="00B83A6F">
        <w:rPr>
          <w:b w:val="0"/>
        </w:rPr>
        <w:t xml:space="preserve">4-5 </w:t>
      </w:r>
      <w:r w:rsidR="003537C0">
        <w:rPr>
          <w:b w:val="0"/>
        </w:rPr>
        <w:t xml:space="preserve">and </w:t>
      </w:r>
      <w:r w:rsidR="00A72480">
        <w:rPr>
          <w:b w:val="0"/>
        </w:rPr>
        <w:t>10.4-7, respectively.</w:t>
      </w:r>
      <w:r w:rsidR="00616255">
        <w:rPr>
          <w:b w:val="0"/>
        </w:rPr>
        <w:t xml:space="preserve"> </w:t>
      </w:r>
    </w:p>
    <w:p w14:paraId="70A82AEF" w14:textId="64B0D813" w:rsidR="00491040" w:rsidRDefault="00491040">
      <w:pPr>
        <w:spacing w:after="200" w:line="276" w:lineRule="auto"/>
        <w:jc w:val="left"/>
      </w:pPr>
      <w:r>
        <w:br w:type="page"/>
      </w:r>
    </w:p>
    <w:p w14:paraId="072DCF04" w14:textId="4980CC04" w:rsidR="00A40E5E" w:rsidRDefault="00A40E5E" w:rsidP="0016698C">
      <w:pPr>
        <w:keepNext/>
        <w:widowControl w:val="0"/>
        <w:spacing w:line="360" w:lineRule="auto"/>
        <w:jc w:val="left"/>
      </w:pPr>
      <w:r>
        <w:lastRenderedPageBreak/>
        <w:t xml:space="preserve">Attachment </w:t>
      </w:r>
      <w:r w:rsidR="00075413">
        <w:t>10</w:t>
      </w:r>
      <w:r>
        <w:t>.4-1: Energy Comparisons</w:t>
      </w:r>
      <w:r w:rsidR="004A4C32">
        <w:t xml:space="preserve"> </w:t>
      </w:r>
      <w:r w:rsidR="001637F4">
        <w:t>V</w:t>
      </w:r>
      <w:r w:rsidR="004A4C32">
        <w:t>ersus Budget</w:t>
      </w:r>
      <w:r>
        <w:t xml:space="preserve"> by Class</w:t>
      </w:r>
      <w:r w:rsidR="00DD192A">
        <w:t xml:space="preserve"> (Calendar data)</w:t>
      </w:r>
    </w:p>
    <w:p w14:paraId="036B8447" w14:textId="035105E4" w:rsidR="0016698C" w:rsidRDefault="0016698C" w:rsidP="0016698C">
      <w:pPr>
        <w:keepNext/>
        <w:widowControl w:val="0"/>
        <w:spacing w:line="360" w:lineRule="auto"/>
        <w:jc w:val="left"/>
        <w:rPr>
          <w:b w:val="0"/>
        </w:rPr>
      </w:pPr>
    </w:p>
    <w:p w14:paraId="7AE31AAC" w14:textId="044E72C4" w:rsidR="00F66B29" w:rsidRPr="0044686D" w:rsidRDefault="00C83408" w:rsidP="00C83408">
      <w:pPr>
        <w:keepNext/>
        <w:widowControl w:val="0"/>
        <w:spacing w:line="360" w:lineRule="auto"/>
        <w:jc w:val="left"/>
        <w:rPr>
          <w:bCs/>
          <w:u w:val="single"/>
        </w:rPr>
      </w:pPr>
      <w:r>
        <w:rPr>
          <w:bCs/>
          <w:u w:val="single"/>
        </w:rPr>
        <w:t>Territorial:</w:t>
      </w:r>
    </w:p>
    <w:p w14:paraId="23019388" w14:textId="0A0C749F" w:rsidR="009B5E67" w:rsidRDefault="00941E61" w:rsidP="0016698C">
      <w:pPr>
        <w:keepNext/>
        <w:widowControl w:val="0"/>
        <w:spacing w:line="360" w:lineRule="auto"/>
        <w:jc w:val="left"/>
        <w:rPr>
          <w:b w:val="0"/>
          <w:noProof/>
        </w:rPr>
      </w:pPr>
      <w:r w:rsidRPr="00941E61">
        <w:rPr>
          <w:b w:val="0"/>
          <w:noProof/>
        </w:rPr>
        <w:drawing>
          <wp:inline distT="0" distB="0" distL="0" distR="0" wp14:anchorId="43A632C5" wp14:editId="334A1629">
            <wp:extent cx="5943600" cy="1219835"/>
            <wp:effectExtent l="0" t="0" r="0" b="0"/>
            <wp:docPr id="14714813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5943600" cy="1219835"/>
                    </a:xfrm>
                    <a:prstGeom prst="rect">
                      <a:avLst/>
                    </a:prstGeom>
                    <a:noFill/>
                    <a:ln>
                      <a:noFill/>
                    </a:ln>
                  </pic:spPr>
                </pic:pic>
              </a:graphicData>
            </a:graphic>
          </wp:inline>
        </w:drawing>
      </w:r>
    </w:p>
    <w:p w14:paraId="4EBE57A2" w14:textId="275097E5" w:rsidR="00A40E5E" w:rsidRDefault="00A40E5E" w:rsidP="0016698C">
      <w:pPr>
        <w:keepNext/>
        <w:widowControl w:val="0"/>
        <w:spacing w:line="360" w:lineRule="auto"/>
        <w:rPr>
          <w:b w:val="0"/>
        </w:rPr>
      </w:pPr>
    </w:p>
    <w:p w14:paraId="19BACCAF" w14:textId="5D17167E" w:rsidR="009B5E67" w:rsidRDefault="00E959C7" w:rsidP="00A40E5E">
      <w:pPr>
        <w:spacing w:line="360" w:lineRule="auto"/>
        <w:jc w:val="left"/>
        <w:rPr>
          <w:b w:val="0"/>
          <w:noProof/>
        </w:rPr>
      </w:pPr>
      <w:r w:rsidRPr="00E959C7">
        <w:rPr>
          <w:b w:val="0"/>
          <w:noProof/>
        </w:rPr>
        <w:drawing>
          <wp:inline distT="0" distB="0" distL="0" distR="0" wp14:anchorId="3ED96E52" wp14:editId="38575A02">
            <wp:extent cx="5943600" cy="1339215"/>
            <wp:effectExtent l="0" t="0" r="0" b="0"/>
            <wp:docPr id="14637987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5943600" cy="1339215"/>
                    </a:xfrm>
                    <a:prstGeom prst="rect">
                      <a:avLst/>
                    </a:prstGeom>
                    <a:noFill/>
                    <a:ln>
                      <a:noFill/>
                    </a:ln>
                  </pic:spPr>
                </pic:pic>
              </a:graphicData>
            </a:graphic>
          </wp:inline>
        </w:drawing>
      </w:r>
    </w:p>
    <w:p w14:paraId="3BACD702" w14:textId="2ACB12AE" w:rsidR="00A40E5E" w:rsidRDefault="00A40E5E" w:rsidP="006A148D">
      <w:pPr>
        <w:spacing w:line="360" w:lineRule="auto"/>
        <w:rPr>
          <w:b w:val="0"/>
        </w:rPr>
      </w:pPr>
    </w:p>
    <w:p w14:paraId="7386C407" w14:textId="77777777" w:rsidR="00C83408" w:rsidRDefault="00C83408" w:rsidP="006A148D">
      <w:pPr>
        <w:spacing w:line="360" w:lineRule="auto"/>
        <w:rPr>
          <w:b w:val="0"/>
        </w:rPr>
      </w:pPr>
    </w:p>
    <w:p w14:paraId="1D42D642" w14:textId="5FFE263B" w:rsidR="006917A7" w:rsidRPr="0044686D" w:rsidRDefault="00DB18AE" w:rsidP="0044686D">
      <w:pPr>
        <w:spacing w:line="360" w:lineRule="auto"/>
        <w:jc w:val="left"/>
        <w:rPr>
          <w:bCs/>
          <w:u w:val="single"/>
        </w:rPr>
      </w:pPr>
      <w:r>
        <w:rPr>
          <w:bCs/>
          <w:u w:val="single"/>
        </w:rPr>
        <w:t>Retail:</w:t>
      </w:r>
    </w:p>
    <w:p w14:paraId="7660A9D6" w14:textId="3985B7A4" w:rsidR="009B5E67" w:rsidRDefault="007F6408" w:rsidP="00A40E5E">
      <w:pPr>
        <w:spacing w:line="360" w:lineRule="auto"/>
        <w:jc w:val="left"/>
        <w:rPr>
          <w:b w:val="0"/>
          <w:noProof/>
        </w:rPr>
      </w:pPr>
      <w:r w:rsidRPr="007F6408">
        <w:rPr>
          <w:b w:val="0"/>
          <w:noProof/>
        </w:rPr>
        <w:drawing>
          <wp:inline distT="0" distB="0" distL="0" distR="0" wp14:anchorId="73D877D1" wp14:editId="68CBD239">
            <wp:extent cx="5943600" cy="1219835"/>
            <wp:effectExtent l="0" t="0" r="0" b="0"/>
            <wp:docPr id="139787569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5943600" cy="1219835"/>
                    </a:xfrm>
                    <a:prstGeom prst="rect">
                      <a:avLst/>
                    </a:prstGeom>
                    <a:noFill/>
                    <a:ln>
                      <a:noFill/>
                    </a:ln>
                  </pic:spPr>
                </pic:pic>
              </a:graphicData>
            </a:graphic>
          </wp:inline>
        </w:drawing>
      </w:r>
    </w:p>
    <w:p w14:paraId="5BA3EB16" w14:textId="2DCB847B" w:rsidR="005B3428" w:rsidRDefault="005B3428" w:rsidP="004C5E43">
      <w:pPr>
        <w:spacing w:line="360" w:lineRule="auto"/>
        <w:jc w:val="left"/>
        <w:rPr>
          <w:b w:val="0"/>
          <w:noProof/>
        </w:rPr>
      </w:pPr>
    </w:p>
    <w:p w14:paraId="12329E4F" w14:textId="4046212B" w:rsidR="008453DC" w:rsidRDefault="00834A7A" w:rsidP="006A148D">
      <w:pPr>
        <w:spacing w:line="360" w:lineRule="auto"/>
        <w:rPr>
          <w:b w:val="0"/>
          <w:noProof/>
        </w:rPr>
      </w:pPr>
      <w:r w:rsidRPr="00834A7A">
        <w:rPr>
          <w:b w:val="0"/>
          <w:noProof/>
        </w:rPr>
        <w:drawing>
          <wp:inline distT="0" distB="0" distL="0" distR="0" wp14:anchorId="6A19261C" wp14:editId="5B7F4001">
            <wp:extent cx="5943600" cy="1369695"/>
            <wp:effectExtent l="0" t="0" r="0" b="1905"/>
            <wp:docPr id="1982319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5943600" cy="1369695"/>
                    </a:xfrm>
                    <a:prstGeom prst="rect">
                      <a:avLst/>
                    </a:prstGeom>
                    <a:noFill/>
                    <a:ln>
                      <a:noFill/>
                    </a:ln>
                  </pic:spPr>
                </pic:pic>
              </a:graphicData>
            </a:graphic>
          </wp:inline>
        </w:drawing>
      </w:r>
    </w:p>
    <w:p w14:paraId="6B67AB9D" w14:textId="18B79AD5" w:rsidR="00DD192A" w:rsidRDefault="00DD192A" w:rsidP="006A148D">
      <w:pPr>
        <w:spacing w:line="360" w:lineRule="auto"/>
        <w:rPr>
          <w:b w:val="0"/>
        </w:rPr>
      </w:pPr>
    </w:p>
    <w:p w14:paraId="032F9BE7" w14:textId="77777777" w:rsidR="006277E8" w:rsidRDefault="006277E8" w:rsidP="006A148D">
      <w:pPr>
        <w:spacing w:line="360" w:lineRule="auto"/>
        <w:rPr>
          <w:b w:val="0"/>
        </w:rPr>
      </w:pPr>
    </w:p>
    <w:p w14:paraId="49E5A917" w14:textId="7ED4DAE9" w:rsidR="005B3428" w:rsidRDefault="005B3428" w:rsidP="006A148D">
      <w:pPr>
        <w:spacing w:line="360" w:lineRule="auto"/>
        <w:rPr>
          <w:b w:val="0"/>
          <w:noProof/>
        </w:rPr>
      </w:pPr>
    </w:p>
    <w:p w14:paraId="547C95C1" w14:textId="7C6386A3" w:rsidR="00DD192A" w:rsidRDefault="00DD192A" w:rsidP="006A148D">
      <w:pPr>
        <w:spacing w:line="360" w:lineRule="auto"/>
        <w:rPr>
          <w:b w:val="0"/>
        </w:rPr>
      </w:pPr>
    </w:p>
    <w:p w14:paraId="4A89E6BB" w14:textId="77777777" w:rsidR="00DD192A" w:rsidRDefault="00DD192A" w:rsidP="00A40E5E">
      <w:pPr>
        <w:spacing w:line="360" w:lineRule="auto"/>
        <w:jc w:val="left"/>
        <w:rPr>
          <w:b w:val="0"/>
        </w:rPr>
      </w:pPr>
    </w:p>
    <w:p w14:paraId="1CEA028E" w14:textId="77777777" w:rsidR="00990564" w:rsidRDefault="00990564" w:rsidP="006A148D">
      <w:pPr>
        <w:spacing w:line="360" w:lineRule="auto"/>
        <w:rPr>
          <w:b w:val="0"/>
          <w:noProof/>
        </w:rPr>
      </w:pPr>
    </w:p>
    <w:p w14:paraId="78B83324" w14:textId="38DA93A5" w:rsidR="0088102C" w:rsidRDefault="0088102C" w:rsidP="006A148D">
      <w:pPr>
        <w:spacing w:line="360" w:lineRule="auto"/>
        <w:rPr>
          <w:b w:val="0"/>
          <w:noProof/>
        </w:rPr>
      </w:pPr>
    </w:p>
    <w:p w14:paraId="3B669549" w14:textId="77777777" w:rsidR="00866786" w:rsidRDefault="00866786" w:rsidP="006A148D">
      <w:pPr>
        <w:spacing w:line="360" w:lineRule="auto"/>
        <w:rPr>
          <w:b w:val="0"/>
          <w:noProof/>
        </w:rPr>
      </w:pPr>
    </w:p>
    <w:p w14:paraId="23EE675A" w14:textId="77777777" w:rsidR="006A27E7" w:rsidRDefault="006A27E7" w:rsidP="006A148D">
      <w:pPr>
        <w:spacing w:line="360" w:lineRule="auto"/>
        <w:rPr>
          <w:b w:val="0"/>
          <w:noProof/>
        </w:rPr>
      </w:pPr>
    </w:p>
    <w:p w14:paraId="5DF427BD" w14:textId="66D35679" w:rsidR="006A27E7" w:rsidRPr="0044686D" w:rsidRDefault="006A27E7" w:rsidP="0044686D">
      <w:pPr>
        <w:spacing w:line="360" w:lineRule="auto"/>
        <w:jc w:val="left"/>
        <w:rPr>
          <w:bCs/>
          <w:noProof/>
          <w:u w:val="single"/>
        </w:rPr>
      </w:pPr>
      <w:r>
        <w:rPr>
          <w:bCs/>
          <w:noProof/>
          <w:u w:val="single"/>
        </w:rPr>
        <w:t>Residential:</w:t>
      </w:r>
    </w:p>
    <w:p w14:paraId="7B3A03DF" w14:textId="21A43FF0" w:rsidR="0088102C" w:rsidRDefault="001E1D40" w:rsidP="006A148D">
      <w:pPr>
        <w:spacing w:line="360" w:lineRule="auto"/>
        <w:rPr>
          <w:b w:val="0"/>
          <w:noProof/>
        </w:rPr>
      </w:pPr>
      <w:r w:rsidRPr="001E1D40">
        <w:rPr>
          <w:b w:val="0"/>
          <w:noProof/>
        </w:rPr>
        <w:drawing>
          <wp:inline distT="0" distB="0" distL="0" distR="0" wp14:anchorId="291523C0" wp14:editId="0A7974E6">
            <wp:extent cx="5943600" cy="1220470"/>
            <wp:effectExtent l="0" t="0" r="0" b="0"/>
            <wp:docPr id="170916103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5943600" cy="1220470"/>
                    </a:xfrm>
                    <a:prstGeom prst="rect">
                      <a:avLst/>
                    </a:prstGeom>
                    <a:noFill/>
                    <a:ln>
                      <a:noFill/>
                    </a:ln>
                  </pic:spPr>
                </pic:pic>
              </a:graphicData>
            </a:graphic>
          </wp:inline>
        </w:drawing>
      </w:r>
    </w:p>
    <w:p w14:paraId="3C81427E" w14:textId="345EF29D" w:rsidR="0088102C" w:rsidRDefault="0088102C" w:rsidP="006A148D">
      <w:pPr>
        <w:spacing w:line="360" w:lineRule="auto"/>
        <w:rPr>
          <w:b w:val="0"/>
          <w:noProof/>
        </w:rPr>
      </w:pPr>
    </w:p>
    <w:p w14:paraId="75AD18D1" w14:textId="53A6EBF1" w:rsidR="005B3428" w:rsidRDefault="00EB4275" w:rsidP="006A148D">
      <w:pPr>
        <w:spacing w:line="360" w:lineRule="auto"/>
        <w:rPr>
          <w:b w:val="0"/>
          <w:noProof/>
        </w:rPr>
      </w:pPr>
      <w:r w:rsidRPr="00EB4275">
        <w:rPr>
          <w:b w:val="0"/>
          <w:noProof/>
        </w:rPr>
        <w:drawing>
          <wp:inline distT="0" distB="0" distL="0" distR="0" wp14:anchorId="46139164" wp14:editId="4A794447">
            <wp:extent cx="5943600" cy="1369060"/>
            <wp:effectExtent l="0" t="0" r="0" b="2540"/>
            <wp:docPr id="115015896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5943600" cy="1369060"/>
                    </a:xfrm>
                    <a:prstGeom prst="rect">
                      <a:avLst/>
                    </a:prstGeom>
                    <a:noFill/>
                    <a:ln>
                      <a:noFill/>
                    </a:ln>
                  </pic:spPr>
                </pic:pic>
              </a:graphicData>
            </a:graphic>
          </wp:inline>
        </w:drawing>
      </w:r>
    </w:p>
    <w:p w14:paraId="78484113" w14:textId="398E4A6D" w:rsidR="006A148D" w:rsidRDefault="006A148D" w:rsidP="00A40E5E">
      <w:pPr>
        <w:spacing w:line="360" w:lineRule="auto"/>
        <w:jc w:val="left"/>
        <w:rPr>
          <w:b w:val="0"/>
        </w:rPr>
      </w:pPr>
    </w:p>
    <w:p w14:paraId="0394EC7C" w14:textId="77777777" w:rsidR="00AC5BBF" w:rsidRDefault="00AC5BBF" w:rsidP="00A40E5E">
      <w:pPr>
        <w:spacing w:line="360" w:lineRule="auto"/>
        <w:jc w:val="left"/>
        <w:rPr>
          <w:b w:val="0"/>
        </w:rPr>
      </w:pPr>
    </w:p>
    <w:p w14:paraId="6BCA1184" w14:textId="7DDB2899" w:rsidR="006917A7" w:rsidRPr="0044686D" w:rsidRDefault="006A27E7" w:rsidP="00A40E5E">
      <w:pPr>
        <w:spacing w:line="360" w:lineRule="auto"/>
        <w:jc w:val="left"/>
        <w:rPr>
          <w:bCs/>
          <w:u w:val="single"/>
        </w:rPr>
      </w:pPr>
      <w:r>
        <w:rPr>
          <w:bCs/>
          <w:u w:val="single"/>
        </w:rPr>
        <w:t>Commercial:</w:t>
      </w:r>
    </w:p>
    <w:p w14:paraId="12CDD267" w14:textId="099C3A38" w:rsidR="005B3428" w:rsidRDefault="00BE2A78" w:rsidP="006A148D">
      <w:pPr>
        <w:spacing w:line="360" w:lineRule="auto"/>
        <w:rPr>
          <w:b w:val="0"/>
          <w:noProof/>
        </w:rPr>
      </w:pPr>
      <w:r w:rsidRPr="00BE2A78">
        <w:rPr>
          <w:b w:val="0"/>
          <w:noProof/>
        </w:rPr>
        <w:drawing>
          <wp:inline distT="0" distB="0" distL="0" distR="0" wp14:anchorId="62CDA655" wp14:editId="40AFF0F9">
            <wp:extent cx="5943600" cy="1220470"/>
            <wp:effectExtent l="0" t="0" r="0" b="0"/>
            <wp:docPr id="105524167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5943600" cy="1220470"/>
                    </a:xfrm>
                    <a:prstGeom prst="rect">
                      <a:avLst/>
                    </a:prstGeom>
                    <a:noFill/>
                    <a:ln>
                      <a:noFill/>
                    </a:ln>
                  </pic:spPr>
                </pic:pic>
              </a:graphicData>
            </a:graphic>
          </wp:inline>
        </w:drawing>
      </w:r>
    </w:p>
    <w:p w14:paraId="0FF7B00C" w14:textId="22CA05D3" w:rsidR="006A148D" w:rsidRDefault="006A148D" w:rsidP="00A40E5E">
      <w:pPr>
        <w:spacing w:line="360" w:lineRule="auto"/>
        <w:jc w:val="left"/>
        <w:rPr>
          <w:b w:val="0"/>
        </w:rPr>
      </w:pPr>
    </w:p>
    <w:p w14:paraId="216CE804" w14:textId="01673602" w:rsidR="005B3428" w:rsidRDefault="0078395A" w:rsidP="006A148D">
      <w:pPr>
        <w:spacing w:line="360" w:lineRule="auto"/>
        <w:rPr>
          <w:b w:val="0"/>
          <w:noProof/>
        </w:rPr>
      </w:pPr>
      <w:r w:rsidRPr="0078395A">
        <w:rPr>
          <w:b w:val="0"/>
          <w:noProof/>
        </w:rPr>
        <w:drawing>
          <wp:inline distT="0" distB="0" distL="0" distR="0" wp14:anchorId="54B8E742" wp14:editId="6DE4A71F">
            <wp:extent cx="5943600" cy="1369695"/>
            <wp:effectExtent l="0" t="0" r="0" b="1905"/>
            <wp:docPr id="188203569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5943600" cy="1369695"/>
                    </a:xfrm>
                    <a:prstGeom prst="rect">
                      <a:avLst/>
                    </a:prstGeom>
                    <a:noFill/>
                    <a:ln>
                      <a:noFill/>
                    </a:ln>
                  </pic:spPr>
                </pic:pic>
              </a:graphicData>
            </a:graphic>
          </wp:inline>
        </w:drawing>
      </w:r>
    </w:p>
    <w:p w14:paraId="2C297276" w14:textId="6DB8D0C7" w:rsidR="006A148D" w:rsidRDefault="006A148D" w:rsidP="006A148D">
      <w:pPr>
        <w:spacing w:line="360" w:lineRule="auto"/>
        <w:rPr>
          <w:b w:val="0"/>
        </w:rPr>
      </w:pPr>
    </w:p>
    <w:p w14:paraId="7CFD26AC" w14:textId="6D6966AA" w:rsidR="0034067C" w:rsidRDefault="0034067C">
      <w:pPr>
        <w:spacing w:after="200" w:line="276" w:lineRule="auto"/>
        <w:jc w:val="left"/>
        <w:rPr>
          <w:bCs/>
          <w:u w:val="single"/>
        </w:rPr>
      </w:pPr>
    </w:p>
    <w:p w14:paraId="4B8CB025" w14:textId="6731CFC8" w:rsidR="00AC5BBF" w:rsidRPr="0044686D" w:rsidRDefault="00AC5BBF" w:rsidP="00A40E5E">
      <w:pPr>
        <w:spacing w:line="360" w:lineRule="auto"/>
        <w:jc w:val="left"/>
        <w:rPr>
          <w:bCs/>
          <w:u w:val="single"/>
        </w:rPr>
      </w:pPr>
      <w:r>
        <w:rPr>
          <w:bCs/>
          <w:u w:val="single"/>
        </w:rPr>
        <w:lastRenderedPageBreak/>
        <w:t>Industrial:</w:t>
      </w:r>
    </w:p>
    <w:p w14:paraId="118702BE" w14:textId="3F8E9FE3" w:rsidR="0088102C" w:rsidRDefault="009210C2" w:rsidP="006A148D">
      <w:pPr>
        <w:spacing w:line="360" w:lineRule="auto"/>
        <w:rPr>
          <w:b w:val="0"/>
          <w:noProof/>
        </w:rPr>
      </w:pPr>
      <w:r w:rsidRPr="009210C2">
        <w:rPr>
          <w:b w:val="0"/>
          <w:noProof/>
        </w:rPr>
        <w:drawing>
          <wp:inline distT="0" distB="0" distL="0" distR="0" wp14:anchorId="3B0BF08D" wp14:editId="46499DAB">
            <wp:extent cx="5943600" cy="1219835"/>
            <wp:effectExtent l="0" t="0" r="0" b="0"/>
            <wp:docPr id="44865290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5943600" cy="1219835"/>
                    </a:xfrm>
                    <a:prstGeom prst="rect">
                      <a:avLst/>
                    </a:prstGeom>
                    <a:noFill/>
                    <a:ln>
                      <a:noFill/>
                    </a:ln>
                  </pic:spPr>
                </pic:pic>
              </a:graphicData>
            </a:graphic>
          </wp:inline>
        </w:drawing>
      </w:r>
    </w:p>
    <w:p w14:paraId="37E52853" w14:textId="0352DE8B" w:rsidR="006A148D" w:rsidRDefault="006A148D" w:rsidP="006A148D">
      <w:pPr>
        <w:spacing w:line="360" w:lineRule="auto"/>
        <w:rPr>
          <w:b w:val="0"/>
        </w:rPr>
      </w:pPr>
    </w:p>
    <w:p w14:paraId="6D48CBD8" w14:textId="57465C56" w:rsidR="006A148D" w:rsidRDefault="0043235F" w:rsidP="00A40E5E">
      <w:pPr>
        <w:spacing w:line="360" w:lineRule="auto"/>
        <w:jc w:val="left"/>
        <w:rPr>
          <w:b w:val="0"/>
        </w:rPr>
      </w:pPr>
      <w:r w:rsidRPr="0043235F">
        <w:rPr>
          <w:b w:val="0"/>
          <w:noProof/>
        </w:rPr>
        <w:drawing>
          <wp:inline distT="0" distB="0" distL="0" distR="0" wp14:anchorId="49511849" wp14:editId="29F1042B">
            <wp:extent cx="5943600" cy="1369060"/>
            <wp:effectExtent l="0" t="0" r="0" b="2540"/>
            <wp:docPr id="65658575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5943600" cy="1369060"/>
                    </a:xfrm>
                    <a:prstGeom prst="rect">
                      <a:avLst/>
                    </a:prstGeom>
                    <a:noFill/>
                    <a:ln>
                      <a:noFill/>
                    </a:ln>
                  </pic:spPr>
                </pic:pic>
              </a:graphicData>
            </a:graphic>
          </wp:inline>
        </w:drawing>
      </w:r>
    </w:p>
    <w:p w14:paraId="1CC1198D" w14:textId="7189B156" w:rsidR="006A148D" w:rsidRDefault="006A148D" w:rsidP="006A148D">
      <w:pPr>
        <w:spacing w:line="360" w:lineRule="auto"/>
        <w:rPr>
          <w:b w:val="0"/>
        </w:rPr>
      </w:pPr>
    </w:p>
    <w:p w14:paraId="31780F56" w14:textId="77777777" w:rsidR="006917A7" w:rsidRDefault="006917A7" w:rsidP="006A148D">
      <w:pPr>
        <w:spacing w:line="360" w:lineRule="auto"/>
        <w:rPr>
          <w:b w:val="0"/>
        </w:rPr>
      </w:pPr>
    </w:p>
    <w:p w14:paraId="02DCA5A7" w14:textId="3279CEE8" w:rsidR="00AC5BBF" w:rsidRPr="0044686D" w:rsidRDefault="00AC5BBF" w:rsidP="0044686D">
      <w:pPr>
        <w:spacing w:line="360" w:lineRule="auto"/>
        <w:jc w:val="left"/>
        <w:rPr>
          <w:bCs/>
          <w:u w:val="single"/>
        </w:rPr>
      </w:pPr>
      <w:r w:rsidRPr="0044686D">
        <w:rPr>
          <w:bCs/>
          <w:u w:val="single"/>
        </w:rPr>
        <w:t>Governmental Lighting:</w:t>
      </w:r>
    </w:p>
    <w:p w14:paraId="36FE0845" w14:textId="5C6FBAC2" w:rsidR="006A148D" w:rsidRDefault="0007393D" w:rsidP="00A40E5E">
      <w:pPr>
        <w:spacing w:line="360" w:lineRule="auto"/>
        <w:jc w:val="left"/>
        <w:rPr>
          <w:b w:val="0"/>
        </w:rPr>
      </w:pPr>
      <w:r w:rsidRPr="0007393D">
        <w:rPr>
          <w:b w:val="0"/>
          <w:noProof/>
        </w:rPr>
        <w:drawing>
          <wp:inline distT="0" distB="0" distL="0" distR="0" wp14:anchorId="02D2FB62" wp14:editId="43B1C1EC">
            <wp:extent cx="5943600" cy="1219835"/>
            <wp:effectExtent l="0" t="0" r="0" b="0"/>
            <wp:docPr id="21248477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5943600" cy="1219835"/>
                    </a:xfrm>
                    <a:prstGeom prst="rect">
                      <a:avLst/>
                    </a:prstGeom>
                    <a:noFill/>
                    <a:ln>
                      <a:noFill/>
                    </a:ln>
                  </pic:spPr>
                </pic:pic>
              </a:graphicData>
            </a:graphic>
          </wp:inline>
        </w:drawing>
      </w:r>
    </w:p>
    <w:p w14:paraId="4A9014EF" w14:textId="0A5C2C08" w:rsidR="006A148D" w:rsidRDefault="006A148D" w:rsidP="006A148D">
      <w:pPr>
        <w:spacing w:line="360" w:lineRule="auto"/>
        <w:rPr>
          <w:b w:val="0"/>
        </w:rPr>
      </w:pPr>
    </w:p>
    <w:p w14:paraId="0C36C2D8" w14:textId="77777777" w:rsidR="006548ED" w:rsidRDefault="006548ED" w:rsidP="006A148D">
      <w:pPr>
        <w:spacing w:line="360" w:lineRule="auto"/>
        <w:rPr>
          <w:b w:val="0"/>
        </w:rPr>
      </w:pPr>
    </w:p>
    <w:p w14:paraId="35C9B771" w14:textId="4FECC7D9" w:rsidR="00AC5BBF" w:rsidRPr="0044686D" w:rsidRDefault="00AC5BBF" w:rsidP="0044686D">
      <w:pPr>
        <w:spacing w:line="360" w:lineRule="auto"/>
        <w:jc w:val="left"/>
        <w:rPr>
          <w:bCs/>
          <w:u w:val="single"/>
        </w:rPr>
      </w:pPr>
      <w:r w:rsidRPr="0044686D">
        <w:rPr>
          <w:bCs/>
          <w:u w:val="single"/>
        </w:rPr>
        <w:t>MARTA:</w:t>
      </w:r>
    </w:p>
    <w:p w14:paraId="147FF4CF" w14:textId="24DA5DCC" w:rsidR="006A148D" w:rsidRDefault="003313FF" w:rsidP="00A40E5E">
      <w:pPr>
        <w:spacing w:line="360" w:lineRule="auto"/>
        <w:jc w:val="left"/>
      </w:pPr>
      <w:r w:rsidRPr="003313FF">
        <w:rPr>
          <w:noProof/>
        </w:rPr>
        <w:drawing>
          <wp:inline distT="0" distB="0" distL="0" distR="0" wp14:anchorId="2CA26A33" wp14:editId="16E289F9">
            <wp:extent cx="5943600" cy="1220470"/>
            <wp:effectExtent l="0" t="0" r="0" b="0"/>
            <wp:docPr id="145717840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943600" cy="1220470"/>
                    </a:xfrm>
                    <a:prstGeom prst="rect">
                      <a:avLst/>
                    </a:prstGeom>
                    <a:noFill/>
                    <a:ln>
                      <a:noFill/>
                    </a:ln>
                  </pic:spPr>
                </pic:pic>
              </a:graphicData>
            </a:graphic>
          </wp:inline>
        </w:drawing>
      </w:r>
    </w:p>
    <w:p w14:paraId="0BDF76D4" w14:textId="5F3994CD" w:rsidR="00A40E5E" w:rsidRDefault="00A40E5E" w:rsidP="006277E8">
      <w:pPr>
        <w:keepNext/>
        <w:widowControl w:val="0"/>
        <w:spacing w:line="360" w:lineRule="auto"/>
        <w:jc w:val="left"/>
      </w:pPr>
      <w:r>
        <w:lastRenderedPageBreak/>
        <w:t xml:space="preserve">Attachment </w:t>
      </w:r>
      <w:r w:rsidR="00075413">
        <w:t>10</w:t>
      </w:r>
      <w:r>
        <w:t xml:space="preserve">.4-2: Actual and Budget </w:t>
      </w:r>
      <w:r w:rsidR="00211462">
        <w:t xml:space="preserve">Summer </w:t>
      </w:r>
      <w:r>
        <w:t>Peak Demand</w:t>
      </w:r>
    </w:p>
    <w:p w14:paraId="16DE5D63" w14:textId="49BD0659" w:rsidR="00C05310" w:rsidRDefault="00C05310" w:rsidP="006277E8">
      <w:pPr>
        <w:keepNext/>
        <w:widowControl w:val="0"/>
        <w:spacing w:line="360" w:lineRule="auto"/>
        <w:jc w:val="left"/>
      </w:pPr>
    </w:p>
    <w:p w14:paraId="73A95148" w14:textId="12F89C21" w:rsidR="00133744" w:rsidRDefault="00606998" w:rsidP="000F291D">
      <w:pPr>
        <w:keepNext/>
        <w:widowControl w:val="0"/>
        <w:spacing w:line="360" w:lineRule="auto"/>
      </w:pPr>
      <w:r w:rsidRPr="00606998">
        <w:rPr>
          <w:noProof/>
        </w:rPr>
        <w:drawing>
          <wp:inline distT="0" distB="0" distL="0" distR="0" wp14:anchorId="1F486607" wp14:editId="701C754D">
            <wp:extent cx="5238750" cy="5200650"/>
            <wp:effectExtent l="0" t="0" r="0" b="0"/>
            <wp:docPr id="784420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5238750" cy="5200650"/>
                    </a:xfrm>
                    <a:prstGeom prst="rect">
                      <a:avLst/>
                    </a:prstGeom>
                    <a:noFill/>
                    <a:ln>
                      <a:noFill/>
                    </a:ln>
                  </pic:spPr>
                </pic:pic>
              </a:graphicData>
            </a:graphic>
          </wp:inline>
        </w:drawing>
      </w:r>
    </w:p>
    <w:p w14:paraId="0006E9F1" w14:textId="4654D971" w:rsidR="00265184" w:rsidRPr="00A40E5E" w:rsidRDefault="00265184" w:rsidP="00B164C3">
      <w:pPr>
        <w:keepNext/>
        <w:widowControl w:val="0"/>
        <w:spacing w:line="360" w:lineRule="auto"/>
      </w:pPr>
    </w:p>
    <w:p w14:paraId="38C33F0E" w14:textId="77777777" w:rsidR="004A582D" w:rsidRDefault="004A582D">
      <w:pPr>
        <w:spacing w:after="200" w:line="276" w:lineRule="auto"/>
        <w:jc w:val="left"/>
      </w:pPr>
      <w:r>
        <w:br w:type="page"/>
      </w:r>
    </w:p>
    <w:p w14:paraId="5D5E2ECA" w14:textId="2688BEC4" w:rsidR="00A40E5E" w:rsidRDefault="004A582D" w:rsidP="00A40E5E">
      <w:pPr>
        <w:spacing w:line="360" w:lineRule="auto"/>
        <w:jc w:val="left"/>
      </w:pPr>
      <w:r>
        <w:lastRenderedPageBreak/>
        <w:t xml:space="preserve">Attachment </w:t>
      </w:r>
      <w:r w:rsidR="00075413">
        <w:t>10</w:t>
      </w:r>
      <w:r>
        <w:t>.4-3: Actual and Budget Winter Peak Demand</w:t>
      </w:r>
    </w:p>
    <w:p w14:paraId="79C9A7BD" w14:textId="4834FD1D" w:rsidR="004A582D" w:rsidRDefault="004A582D" w:rsidP="00A40E5E">
      <w:pPr>
        <w:spacing w:line="360" w:lineRule="auto"/>
        <w:jc w:val="left"/>
      </w:pPr>
    </w:p>
    <w:p w14:paraId="33DF1A54" w14:textId="1849EA71" w:rsidR="004A582D" w:rsidRDefault="00C343EC" w:rsidP="004C5E43">
      <w:pPr>
        <w:spacing w:line="360" w:lineRule="auto"/>
        <w:rPr>
          <w:b w:val="0"/>
        </w:rPr>
      </w:pPr>
      <w:r w:rsidRPr="00C343EC">
        <w:rPr>
          <w:b w:val="0"/>
          <w:noProof/>
        </w:rPr>
        <w:drawing>
          <wp:inline distT="0" distB="0" distL="0" distR="0" wp14:anchorId="42EC9E68" wp14:editId="674A869D">
            <wp:extent cx="5238750" cy="5200650"/>
            <wp:effectExtent l="0" t="0" r="0" b="0"/>
            <wp:docPr id="1372089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5238750" cy="5200650"/>
                    </a:xfrm>
                    <a:prstGeom prst="rect">
                      <a:avLst/>
                    </a:prstGeom>
                    <a:noFill/>
                    <a:ln>
                      <a:noFill/>
                    </a:ln>
                  </pic:spPr>
                </pic:pic>
              </a:graphicData>
            </a:graphic>
          </wp:inline>
        </w:drawing>
      </w:r>
    </w:p>
    <w:p w14:paraId="605F4B00" w14:textId="77777777" w:rsidR="004A582D" w:rsidRDefault="004A582D" w:rsidP="00CC5D8C">
      <w:pPr>
        <w:keepNext/>
        <w:spacing w:line="360" w:lineRule="auto"/>
        <w:jc w:val="left"/>
      </w:pPr>
    </w:p>
    <w:p w14:paraId="66CCA980" w14:textId="77777777" w:rsidR="004A582D" w:rsidRDefault="004A582D">
      <w:pPr>
        <w:spacing w:after="200" w:line="276" w:lineRule="auto"/>
        <w:jc w:val="left"/>
      </w:pPr>
      <w:r>
        <w:br w:type="page"/>
      </w:r>
    </w:p>
    <w:p w14:paraId="0135E363" w14:textId="15FBEE6A" w:rsidR="00A40E5E" w:rsidRDefault="00A40E5E" w:rsidP="00CC5D8C">
      <w:pPr>
        <w:keepNext/>
        <w:spacing w:line="360" w:lineRule="auto"/>
        <w:jc w:val="left"/>
      </w:pPr>
      <w:r>
        <w:lastRenderedPageBreak/>
        <w:t xml:space="preserve">Attachment </w:t>
      </w:r>
      <w:r w:rsidR="00075413">
        <w:t>10</w:t>
      </w:r>
      <w:r>
        <w:t>.4-</w:t>
      </w:r>
      <w:r w:rsidR="004A582D">
        <w:t>4</w:t>
      </w:r>
      <w:r>
        <w:t xml:space="preserve">: Comparison of </w:t>
      </w:r>
      <w:r w:rsidR="00FF1CF5">
        <w:t xml:space="preserve">Budget </w:t>
      </w:r>
      <w:r>
        <w:t xml:space="preserve">Forecast and Actual </w:t>
      </w:r>
      <w:r w:rsidR="004A582D">
        <w:t xml:space="preserve">Summer </w:t>
      </w:r>
      <w:r>
        <w:t>Demand</w:t>
      </w:r>
    </w:p>
    <w:p w14:paraId="0A3FA29C" w14:textId="6BFAF580" w:rsidR="00265184" w:rsidRDefault="00265184" w:rsidP="00CC5D8C">
      <w:pPr>
        <w:spacing w:line="360" w:lineRule="auto"/>
        <w:rPr>
          <w:noProof/>
        </w:rPr>
      </w:pPr>
    </w:p>
    <w:p w14:paraId="0B6104F1" w14:textId="42A1EAD5" w:rsidR="00A40E5E" w:rsidRDefault="00F11216" w:rsidP="00CC5D8C">
      <w:pPr>
        <w:spacing w:line="360" w:lineRule="auto"/>
        <w:rPr>
          <w:b w:val="0"/>
        </w:rPr>
      </w:pPr>
      <w:r w:rsidRPr="00F11216">
        <w:rPr>
          <w:b w:val="0"/>
          <w:noProof/>
        </w:rPr>
        <w:drawing>
          <wp:inline distT="0" distB="0" distL="0" distR="0" wp14:anchorId="5C0159AF" wp14:editId="7F8F6456">
            <wp:extent cx="5305425" cy="1504950"/>
            <wp:effectExtent l="0" t="0" r="9525" b="0"/>
            <wp:docPr id="15044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5305425" cy="1504950"/>
                    </a:xfrm>
                    <a:prstGeom prst="rect">
                      <a:avLst/>
                    </a:prstGeom>
                    <a:noFill/>
                    <a:ln>
                      <a:noFill/>
                    </a:ln>
                  </pic:spPr>
                </pic:pic>
              </a:graphicData>
            </a:graphic>
          </wp:inline>
        </w:drawing>
      </w:r>
    </w:p>
    <w:p w14:paraId="44212F8A" w14:textId="77777777" w:rsidR="00A40E5E" w:rsidRDefault="00A40E5E" w:rsidP="00A40E5E">
      <w:pPr>
        <w:spacing w:line="360" w:lineRule="auto"/>
        <w:jc w:val="left"/>
        <w:rPr>
          <w:b w:val="0"/>
        </w:rPr>
      </w:pPr>
    </w:p>
    <w:p w14:paraId="3EA3000C" w14:textId="77777777" w:rsidR="00CC725D" w:rsidRDefault="00CC725D" w:rsidP="00A40E5E">
      <w:pPr>
        <w:spacing w:line="360" w:lineRule="auto"/>
        <w:jc w:val="left"/>
        <w:rPr>
          <w:b w:val="0"/>
        </w:rPr>
      </w:pPr>
    </w:p>
    <w:p w14:paraId="48298E1F" w14:textId="0101D7F9" w:rsidR="00A40E5E" w:rsidRDefault="00A40E5E" w:rsidP="00A40E5E">
      <w:pPr>
        <w:spacing w:line="360" w:lineRule="auto"/>
        <w:jc w:val="left"/>
      </w:pPr>
      <w:r>
        <w:t xml:space="preserve">Attachment </w:t>
      </w:r>
      <w:r w:rsidR="00075413">
        <w:t>10</w:t>
      </w:r>
      <w:r>
        <w:t>.4-</w:t>
      </w:r>
      <w:r w:rsidR="004A582D">
        <w:t>5</w:t>
      </w:r>
      <w:r>
        <w:t xml:space="preserve">: Comparison of </w:t>
      </w:r>
      <w:r w:rsidR="00FF1CF5">
        <w:t xml:space="preserve">Budget </w:t>
      </w:r>
      <w:r>
        <w:t xml:space="preserve">Forecast and Weather </w:t>
      </w:r>
      <w:r w:rsidR="00931625">
        <w:t xml:space="preserve">Adjusted </w:t>
      </w:r>
      <w:r w:rsidR="004A582D">
        <w:t xml:space="preserve">Summer </w:t>
      </w:r>
      <w:r>
        <w:t>Demand</w:t>
      </w:r>
    </w:p>
    <w:p w14:paraId="1CAEF936" w14:textId="77777777" w:rsidR="00B164C3" w:rsidRDefault="00B164C3" w:rsidP="00A40E5E">
      <w:pPr>
        <w:spacing w:line="360" w:lineRule="auto"/>
        <w:jc w:val="left"/>
        <w:rPr>
          <w:b w:val="0"/>
        </w:rPr>
      </w:pPr>
    </w:p>
    <w:p w14:paraId="423ECF09" w14:textId="5B059C33" w:rsidR="001327B5" w:rsidRDefault="001327B5" w:rsidP="00CC5D8C">
      <w:pPr>
        <w:spacing w:line="360" w:lineRule="auto"/>
        <w:rPr>
          <w:noProof/>
        </w:rPr>
      </w:pPr>
      <w:r w:rsidRPr="001327B5">
        <w:rPr>
          <w:noProof/>
        </w:rPr>
        <w:drawing>
          <wp:inline distT="0" distB="0" distL="0" distR="0" wp14:anchorId="44526626" wp14:editId="15683D55">
            <wp:extent cx="5400675" cy="1504950"/>
            <wp:effectExtent l="0" t="0" r="9525" b="0"/>
            <wp:docPr id="14766250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0"/>
                      <a:ext cx="5400675" cy="1504950"/>
                    </a:xfrm>
                    <a:prstGeom prst="rect">
                      <a:avLst/>
                    </a:prstGeom>
                    <a:noFill/>
                    <a:ln>
                      <a:noFill/>
                    </a:ln>
                  </pic:spPr>
                </pic:pic>
              </a:graphicData>
            </a:graphic>
          </wp:inline>
        </w:drawing>
      </w:r>
    </w:p>
    <w:p w14:paraId="66B4C529" w14:textId="5D507BBB" w:rsidR="000B48A6" w:rsidRDefault="00616255" w:rsidP="00CC5D8C">
      <w:pPr>
        <w:spacing w:line="360" w:lineRule="auto"/>
        <w:rPr>
          <w:noProof/>
        </w:rPr>
      </w:pPr>
      <w:r>
        <w:rPr>
          <w:noProof/>
        </w:rPr>
        <w:t xml:space="preserve"> </w:t>
      </w:r>
    </w:p>
    <w:p w14:paraId="3E87A749" w14:textId="77777777" w:rsidR="006D3C4B" w:rsidRDefault="006D3C4B" w:rsidP="00CC5D8C">
      <w:pPr>
        <w:spacing w:line="360" w:lineRule="auto"/>
        <w:rPr>
          <w:b w:val="0"/>
        </w:rPr>
      </w:pPr>
    </w:p>
    <w:p w14:paraId="554DA585" w14:textId="77777777" w:rsidR="0034067C" w:rsidRDefault="0034067C">
      <w:pPr>
        <w:spacing w:after="200" w:line="276" w:lineRule="auto"/>
        <w:jc w:val="left"/>
      </w:pPr>
      <w:r>
        <w:br w:type="page"/>
      </w:r>
    </w:p>
    <w:p w14:paraId="5282AF31" w14:textId="67FC4E1D" w:rsidR="00A40E5E" w:rsidRDefault="006D3C4B" w:rsidP="00A40E5E">
      <w:pPr>
        <w:spacing w:line="360" w:lineRule="auto"/>
        <w:jc w:val="left"/>
      </w:pPr>
      <w:r>
        <w:lastRenderedPageBreak/>
        <w:t xml:space="preserve">Attachment </w:t>
      </w:r>
      <w:r w:rsidR="00075413">
        <w:t>10</w:t>
      </w:r>
      <w:r>
        <w:t xml:space="preserve">.4-6: Comparison of </w:t>
      </w:r>
      <w:r w:rsidR="00FF1CF5">
        <w:t xml:space="preserve">Budget </w:t>
      </w:r>
      <w:r>
        <w:t>Forecast and Actual Winter Demand</w:t>
      </w:r>
    </w:p>
    <w:p w14:paraId="72401CEB" w14:textId="20A26393" w:rsidR="006D3C4B" w:rsidRDefault="006D3C4B" w:rsidP="00A40E5E">
      <w:pPr>
        <w:spacing w:line="360" w:lineRule="auto"/>
        <w:jc w:val="left"/>
      </w:pPr>
    </w:p>
    <w:p w14:paraId="10D2D027" w14:textId="441D6BD7" w:rsidR="006D3C4B" w:rsidRDefault="00A3777C" w:rsidP="004C5E43">
      <w:pPr>
        <w:spacing w:line="360" w:lineRule="auto"/>
        <w:rPr>
          <w:b w:val="0"/>
        </w:rPr>
      </w:pPr>
      <w:r w:rsidRPr="00A3777C">
        <w:rPr>
          <w:b w:val="0"/>
          <w:noProof/>
        </w:rPr>
        <w:drawing>
          <wp:inline distT="0" distB="0" distL="0" distR="0" wp14:anchorId="6EE00CA1" wp14:editId="6D86ACD1">
            <wp:extent cx="5305425" cy="1504950"/>
            <wp:effectExtent l="0" t="0" r="9525" b="0"/>
            <wp:docPr id="5152934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5305425" cy="1504950"/>
                    </a:xfrm>
                    <a:prstGeom prst="rect">
                      <a:avLst/>
                    </a:prstGeom>
                    <a:noFill/>
                    <a:ln>
                      <a:noFill/>
                    </a:ln>
                  </pic:spPr>
                </pic:pic>
              </a:graphicData>
            </a:graphic>
          </wp:inline>
        </w:drawing>
      </w:r>
    </w:p>
    <w:p w14:paraId="07D88FF0" w14:textId="77777777" w:rsidR="006E265F" w:rsidRDefault="006E265F" w:rsidP="006E265F">
      <w:pPr>
        <w:spacing w:line="276" w:lineRule="auto"/>
        <w:jc w:val="left"/>
      </w:pPr>
      <w:bookmarkStart w:id="573" w:name="_Toc59359840"/>
      <w:bookmarkStart w:id="574" w:name="_Toc347120487"/>
    </w:p>
    <w:p w14:paraId="18777066" w14:textId="77777777" w:rsidR="003C434B" w:rsidRDefault="003C434B" w:rsidP="00283743">
      <w:pPr>
        <w:spacing w:after="200" w:line="276" w:lineRule="auto"/>
        <w:jc w:val="left"/>
      </w:pPr>
    </w:p>
    <w:p w14:paraId="34EE6B09" w14:textId="38F48AA3" w:rsidR="008F3B8E" w:rsidRDefault="008F3B8E" w:rsidP="00283743">
      <w:pPr>
        <w:spacing w:after="200" w:line="276" w:lineRule="auto"/>
        <w:jc w:val="left"/>
        <w:rPr>
          <w:b w:val="0"/>
        </w:rPr>
      </w:pPr>
      <w:r>
        <w:t xml:space="preserve">Attachment </w:t>
      </w:r>
      <w:r w:rsidR="00075413">
        <w:t>10</w:t>
      </w:r>
      <w:r>
        <w:t xml:space="preserve">.4-7: Comparison of </w:t>
      </w:r>
      <w:r w:rsidR="00FF1CF5">
        <w:t xml:space="preserve">Budget </w:t>
      </w:r>
      <w:r>
        <w:t xml:space="preserve">Forecast and Weather </w:t>
      </w:r>
      <w:r w:rsidR="00B84B61">
        <w:t xml:space="preserve">Adjusted </w:t>
      </w:r>
      <w:r>
        <w:t>Winter Demand</w:t>
      </w:r>
      <w:r>
        <w:rPr>
          <w:b w:val="0"/>
        </w:rPr>
        <w:t xml:space="preserve"> </w:t>
      </w:r>
    </w:p>
    <w:p w14:paraId="36484ACE" w14:textId="77777777" w:rsidR="006E265F" w:rsidRDefault="006E265F" w:rsidP="006E265F">
      <w:pPr>
        <w:spacing w:line="276" w:lineRule="auto"/>
        <w:jc w:val="left"/>
        <w:rPr>
          <w:b w:val="0"/>
        </w:rPr>
      </w:pPr>
    </w:p>
    <w:p w14:paraId="6AF49CCF" w14:textId="017C48B1" w:rsidR="003C434B" w:rsidRDefault="0083356C" w:rsidP="004C5E43">
      <w:pPr>
        <w:spacing w:after="200" w:line="276" w:lineRule="auto"/>
        <w:rPr>
          <w:b w:val="0"/>
          <w:noProof/>
        </w:rPr>
      </w:pPr>
      <w:r w:rsidRPr="0083356C">
        <w:rPr>
          <w:b w:val="0"/>
          <w:noProof/>
        </w:rPr>
        <w:drawing>
          <wp:inline distT="0" distB="0" distL="0" distR="0" wp14:anchorId="2FF0F90C" wp14:editId="39D6D37E">
            <wp:extent cx="5400675" cy="1504950"/>
            <wp:effectExtent l="0" t="0" r="9525" b="0"/>
            <wp:docPr id="835648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5400675" cy="1504950"/>
                    </a:xfrm>
                    <a:prstGeom prst="rect">
                      <a:avLst/>
                    </a:prstGeom>
                    <a:noFill/>
                    <a:ln>
                      <a:noFill/>
                    </a:ln>
                  </pic:spPr>
                </pic:pic>
              </a:graphicData>
            </a:graphic>
          </wp:inline>
        </w:drawing>
      </w:r>
    </w:p>
    <w:p w14:paraId="55047861" w14:textId="1784914F" w:rsidR="003C434B" w:rsidRDefault="003C434B" w:rsidP="004C5E43">
      <w:pPr>
        <w:spacing w:after="200" w:line="276" w:lineRule="auto"/>
        <w:rPr>
          <w:b w:val="0"/>
        </w:rPr>
      </w:pPr>
    </w:p>
    <w:p w14:paraId="1BDB5E77" w14:textId="4BB760AC" w:rsidR="006D3C4B" w:rsidRDefault="006D3C4B" w:rsidP="004C5E43">
      <w:pPr>
        <w:spacing w:after="200" w:line="276" w:lineRule="auto"/>
        <w:rPr>
          <w:rFonts w:eastAsiaTheme="majorEastAsia"/>
          <w:bCs/>
        </w:rPr>
      </w:pPr>
      <w:r>
        <w:rPr>
          <w:b w:val="0"/>
        </w:rPr>
        <w:br w:type="page"/>
      </w:r>
    </w:p>
    <w:p w14:paraId="7A87DAD1" w14:textId="69E5817B" w:rsidR="00A40E5E" w:rsidRPr="00500FA1" w:rsidRDefault="0097752B" w:rsidP="00A40E5E">
      <w:pPr>
        <w:pStyle w:val="Heading2"/>
        <w:jc w:val="left"/>
        <w:rPr>
          <w:rFonts w:ascii="Arial" w:hAnsi="Arial" w:cs="Arial"/>
          <w:b/>
          <w:color w:val="auto"/>
          <w:sz w:val="20"/>
          <w:szCs w:val="20"/>
        </w:rPr>
      </w:pPr>
      <w:bookmarkStart w:id="575" w:name="_Toc188257188"/>
      <w:bookmarkStart w:id="576" w:name="_Toc188257403"/>
      <w:bookmarkStart w:id="577" w:name="_Toc188257627"/>
      <w:bookmarkStart w:id="578" w:name="_Toc189162637"/>
      <w:r>
        <w:rPr>
          <w:rFonts w:ascii="Arial" w:hAnsi="Arial" w:cs="Arial"/>
          <w:b/>
          <w:color w:val="auto"/>
          <w:sz w:val="20"/>
          <w:szCs w:val="20"/>
        </w:rPr>
        <w:lastRenderedPageBreak/>
        <w:t>10</w:t>
      </w:r>
      <w:r w:rsidR="00A40E5E" w:rsidRPr="00500FA1">
        <w:rPr>
          <w:rFonts w:ascii="Arial" w:hAnsi="Arial" w:cs="Arial"/>
          <w:b/>
          <w:color w:val="auto"/>
          <w:sz w:val="20"/>
          <w:szCs w:val="20"/>
        </w:rPr>
        <w:t>.4.1</w:t>
      </w:r>
      <w:r w:rsidR="00A40E5E" w:rsidRPr="00500FA1">
        <w:rPr>
          <w:rFonts w:ascii="Arial" w:hAnsi="Arial" w:cs="Arial"/>
          <w:b/>
          <w:color w:val="auto"/>
          <w:sz w:val="20"/>
          <w:szCs w:val="20"/>
        </w:rPr>
        <w:tab/>
        <w:t>General Enhancements</w:t>
      </w:r>
      <w:bookmarkEnd w:id="573"/>
      <w:bookmarkEnd w:id="574"/>
      <w:bookmarkEnd w:id="575"/>
      <w:bookmarkEnd w:id="576"/>
      <w:bookmarkEnd w:id="577"/>
      <w:bookmarkEnd w:id="578"/>
    </w:p>
    <w:p w14:paraId="48E272F8" w14:textId="77777777" w:rsidR="00500FA1" w:rsidRDefault="00500FA1" w:rsidP="00A40E5E">
      <w:pPr>
        <w:pStyle w:val="BodyText"/>
      </w:pPr>
    </w:p>
    <w:p w14:paraId="3261756D" w14:textId="14ADB8BE" w:rsidR="00A40E5E" w:rsidRPr="00500FA1" w:rsidRDefault="00A40E5E" w:rsidP="00497071">
      <w:pPr>
        <w:pStyle w:val="BodyText"/>
        <w:spacing w:after="0" w:line="360" w:lineRule="auto"/>
        <w:jc w:val="both"/>
        <w:rPr>
          <w:b w:val="0"/>
        </w:rPr>
      </w:pPr>
      <w:r w:rsidRPr="00500FA1">
        <w:rPr>
          <w:b w:val="0"/>
        </w:rPr>
        <w:t>Whenever possible, each new forecast incorporates changes in a variety of areas that will improve the quality of the forecast. New and revised data relating to the economy, demographic conditions, and fuel</w:t>
      </w:r>
      <w:r w:rsidR="004B6F0E">
        <w:rPr>
          <w:b w:val="0"/>
        </w:rPr>
        <w:t xml:space="preserve"> prices</w:t>
      </w:r>
      <w:r w:rsidRPr="00500FA1">
        <w:rPr>
          <w:b w:val="0"/>
        </w:rPr>
        <w:t xml:space="preserve">, for example, are </w:t>
      </w:r>
      <w:r w:rsidR="00731757">
        <w:rPr>
          <w:b w:val="0"/>
        </w:rPr>
        <w:t xml:space="preserve">always </w:t>
      </w:r>
      <w:r w:rsidRPr="00500FA1">
        <w:rPr>
          <w:b w:val="0"/>
        </w:rPr>
        <w:t>included. In addition, existing models are enhanced or are replaced with new models that take advantage of better data or improved estimation techniques. Model specification, parameters, and equations are reviewed, assessed, and changed as appropriate</w:t>
      </w:r>
      <w:r w:rsidR="00914867">
        <w:rPr>
          <w:b w:val="0"/>
        </w:rPr>
        <w:t xml:space="preserve"> each year</w:t>
      </w:r>
      <w:r w:rsidRPr="00500FA1">
        <w:rPr>
          <w:b w:val="0"/>
        </w:rPr>
        <w:t xml:space="preserve">. </w:t>
      </w:r>
    </w:p>
    <w:p w14:paraId="5FE2AE90" w14:textId="77777777" w:rsidR="00A40E5E" w:rsidRPr="00500FA1" w:rsidRDefault="00A40E5E" w:rsidP="00497071">
      <w:pPr>
        <w:pStyle w:val="BodyText"/>
        <w:spacing w:after="0" w:line="360" w:lineRule="auto"/>
        <w:jc w:val="both"/>
        <w:rPr>
          <w:b w:val="0"/>
        </w:rPr>
      </w:pPr>
    </w:p>
    <w:p w14:paraId="164FAD98" w14:textId="02BFB8FD" w:rsidR="00A40E5E" w:rsidRPr="00500FA1" w:rsidRDefault="00A40E5E" w:rsidP="00497071">
      <w:pPr>
        <w:pStyle w:val="BodyText"/>
        <w:spacing w:after="0" w:line="360" w:lineRule="auto"/>
        <w:jc w:val="both"/>
        <w:rPr>
          <w:b w:val="0"/>
        </w:rPr>
      </w:pPr>
      <w:r w:rsidRPr="007E103D">
        <w:rPr>
          <w:b w:val="0"/>
          <w:u w:val="single"/>
        </w:rPr>
        <w:t>Data</w:t>
      </w:r>
      <w:r w:rsidRPr="00500FA1">
        <w:rPr>
          <w:b w:val="0"/>
        </w:rPr>
        <w:t>:</w:t>
      </w:r>
      <w:r w:rsidR="00616255">
        <w:rPr>
          <w:b w:val="0"/>
        </w:rPr>
        <w:t xml:space="preserve"> </w:t>
      </w:r>
      <w:r w:rsidRPr="00500FA1">
        <w:rPr>
          <w:b w:val="0"/>
        </w:rPr>
        <w:t>Each energy and demand forecast uses a recent, comprehensive set of consistent economic and demographic variables</w:t>
      </w:r>
      <w:r w:rsidR="00C16931">
        <w:rPr>
          <w:b w:val="0"/>
        </w:rPr>
        <w:t xml:space="preserve"> </w:t>
      </w:r>
      <w:r w:rsidR="00356AA5">
        <w:rPr>
          <w:b w:val="0"/>
        </w:rPr>
        <w:t xml:space="preserve">such as </w:t>
      </w:r>
      <w:r w:rsidRPr="00D44723">
        <w:rPr>
          <w:b w:val="0"/>
        </w:rPr>
        <w:t xml:space="preserve">income, households, </w:t>
      </w:r>
      <w:r w:rsidR="00F874DE">
        <w:rPr>
          <w:b w:val="0"/>
        </w:rPr>
        <w:t xml:space="preserve">commercial </w:t>
      </w:r>
      <w:r w:rsidRPr="00D44723">
        <w:rPr>
          <w:b w:val="0"/>
        </w:rPr>
        <w:t xml:space="preserve">floor space, </w:t>
      </w:r>
      <w:r w:rsidR="007E103D">
        <w:rPr>
          <w:b w:val="0"/>
        </w:rPr>
        <w:t>housing stock</w:t>
      </w:r>
      <w:r w:rsidR="008259A5">
        <w:rPr>
          <w:b w:val="0"/>
        </w:rPr>
        <w:t xml:space="preserve">, housing </w:t>
      </w:r>
      <w:r w:rsidR="00323916">
        <w:rPr>
          <w:b w:val="0"/>
        </w:rPr>
        <w:t>starts and</w:t>
      </w:r>
      <w:r w:rsidRPr="00D44723">
        <w:rPr>
          <w:b w:val="0"/>
        </w:rPr>
        <w:t xml:space="preserve"> employment.</w:t>
      </w:r>
      <w:r w:rsidRPr="003619F4">
        <w:rPr>
          <w:b w:val="0"/>
          <w:color w:val="FF0000"/>
        </w:rPr>
        <w:t xml:space="preserve"> </w:t>
      </w:r>
      <w:r w:rsidRPr="00500FA1">
        <w:rPr>
          <w:b w:val="0"/>
        </w:rPr>
        <w:t xml:space="preserve">The latest available forecasts of the prices of alternative fuels (generally gas and electricity) and the latest available </w:t>
      </w:r>
      <w:r w:rsidR="00CD0450">
        <w:rPr>
          <w:b w:val="0"/>
        </w:rPr>
        <w:t xml:space="preserve">appliance </w:t>
      </w:r>
      <w:r w:rsidRPr="00500FA1">
        <w:rPr>
          <w:b w:val="0"/>
        </w:rPr>
        <w:t>saturation data are also incor</w:t>
      </w:r>
      <w:r w:rsidR="00A6007B">
        <w:rPr>
          <w:b w:val="0"/>
        </w:rPr>
        <w:t>porated where appropriate. End-</w:t>
      </w:r>
      <w:r w:rsidRPr="00500FA1">
        <w:rPr>
          <w:b w:val="0"/>
        </w:rPr>
        <w:t>use device standards are reassessed and updated as available information permits. Market profile data from survey and end-use research are assembled and used as newer or better data become available. Weather files are updated annually.</w:t>
      </w:r>
    </w:p>
    <w:p w14:paraId="09C36D8C" w14:textId="77777777" w:rsidR="00A40E5E" w:rsidRPr="00500FA1" w:rsidRDefault="00A40E5E" w:rsidP="00497071">
      <w:pPr>
        <w:pStyle w:val="BodyText"/>
        <w:spacing w:after="0" w:line="360" w:lineRule="auto"/>
        <w:jc w:val="both"/>
        <w:rPr>
          <w:b w:val="0"/>
        </w:rPr>
      </w:pPr>
    </w:p>
    <w:p w14:paraId="294E58B8" w14:textId="452858CB" w:rsidR="00A40E5E" w:rsidRPr="00500FA1" w:rsidRDefault="00A40E5E" w:rsidP="00497071">
      <w:pPr>
        <w:pStyle w:val="BodyText"/>
        <w:spacing w:after="0" w:line="360" w:lineRule="auto"/>
        <w:jc w:val="both"/>
        <w:rPr>
          <w:b w:val="0"/>
        </w:rPr>
      </w:pPr>
      <w:r w:rsidRPr="007E103D">
        <w:rPr>
          <w:b w:val="0"/>
          <w:u w:val="single"/>
        </w:rPr>
        <w:t>Models</w:t>
      </w:r>
      <w:r w:rsidRPr="00500FA1">
        <w:rPr>
          <w:b w:val="0"/>
        </w:rPr>
        <w:t>:</w:t>
      </w:r>
      <w:r w:rsidR="00616255">
        <w:rPr>
          <w:b w:val="0"/>
        </w:rPr>
        <w:t xml:space="preserve"> </w:t>
      </w:r>
      <w:r w:rsidRPr="00500FA1">
        <w:rPr>
          <w:b w:val="0"/>
        </w:rPr>
        <w:t xml:space="preserve">Model specifications are reviewed and adjusted </w:t>
      </w:r>
      <w:r w:rsidR="00F874DE">
        <w:rPr>
          <w:b w:val="0"/>
        </w:rPr>
        <w:t>as</w:t>
      </w:r>
      <w:r w:rsidR="00F874DE" w:rsidRPr="00500FA1">
        <w:rPr>
          <w:b w:val="0"/>
        </w:rPr>
        <w:t xml:space="preserve"> </w:t>
      </w:r>
      <w:r w:rsidRPr="00500FA1">
        <w:rPr>
          <w:b w:val="0"/>
        </w:rPr>
        <w:t xml:space="preserve">necessary to account for new products, data availability, and significant events that may affect model accuracy. </w:t>
      </w:r>
      <w:r w:rsidR="00356AA5">
        <w:rPr>
          <w:b w:val="0"/>
        </w:rPr>
        <w:t xml:space="preserve">New explanatory variables may be added to the short-term econometric models to capture recent changes, while variables that </w:t>
      </w:r>
      <w:r w:rsidR="00B814A8">
        <w:rPr>
          <w:b w:val="0"/>
        </w:rPr>
        <w:t xml:space="preserve">no longer explain the variable being forecasted </w:t>
      </w:r>
      <w:r w:rsidR="00062D70">
        <w:rPr>
          <w:b w:val="0"/>
        </w:rPr>
        <w:t>are remov</w:t>
      </w:r>
      <w:r w:rsidR="00B814A8">
        <w:rPr>
          <w:b w:val="0"/>
        </w:rPr>
        <w:t>ed.</w:t>
      </w:r>
      <w:r w:rsidR="00616255">
        <w:rPr>
          <w:b w:val="0"/>
        </w:rPr>
        <w:t xml:space="preserve">  </w:t>
      </w:r>
      <w:r w:rsidRPr="00500FA1">
        <w:rPr>
          <w:b w:val="0"/>
        </w:rPr>
        <w:t xml:space="preserve"> </w:t>
      </w:r>
    </w:p>
    <w:p w14:paraId="3DAE61E9" w14:textId="77777777" w:rsidR="00A40E5E" w:rsidRPr="00500FA1" w:rsidRDefault="00A40E5E" w:rsidP="00497071">
      <w:pPr>
        <w:pStyle w:val="BodyText"/>
        <w:spacing w:after="0" w:line="360" w:lineRule="auto"/>
        <w:jc w:val="left"/>
        <w:rPr>
          <w:b w:val="0"/>
        </w:rPr>
      </w:pPr>
    </w:p>
    <w:p w14:paraId="65EF0407" w14:textId="72130CB8" w:rsidR="00A40E5E" w:rsidRPr="00500FA1" w:rsidRDefault="00A40E5E" w:rsidP="00497071">
      <w:pPr>
        <w:pStyle w:val="BodyText"/>
        <w:spacing w:after="0" w:line="360" w:lineRule="auto"/>
        <w:jc w:val="both"/>
        <w:rPr>
          <w:b w:val="0"/>
        </w:rPr>
      </w:pPr>
      <w:r w:rsidRPr="007E103D">
        <w:rPr>
          <w:b w:val="0"/>
          <w:u w:val="single"/>
        </w:rPr>
        <w:t>Model Coefficients</w:t>
      </w:r>
      <w:r w:rsidRPr="00500FA1">
        <w:rPr>
          <w:b w:val="0"/>
        </w:rPr>
        <w:t>: Whenever new data are available or model specifications change, the forecasting equations</w:t>
      </w:r>
      <w:r w:rsidR="00384B08">
        <w:rPr>
          <w:b w:val="0"/>
        </w:rPr>
        <w:t xml:space="preserve"> are re-estimated</w:t>
      </w:r>
      <w:r w:rsidRPr="00500FA1">
        <w:rPr>
          <w:b w:val="0"/>
        </w:rPr>
        <w:t xml:space="preserve">, </w:t>
      </w:r>
      <w:r w:rsidR="00806DCF">
        <w:rPr>
          <w:b w:val="0"/>
        </w:rPr>
        <w:t xml:space="preserve">and </w:t>
      </w:r>
      <w:r w:rsidRPr="00500FA1">
        <w:rPr>
          <w:b w:val="0"/>
        </w:rPr>
        <w:t>new model coefficients</w:t>
      </w:r>
      <w:r w:rsidR="00384B08">
        <w:rPr>
          <w:b w:val="0"/>
        </w:rPr>
        <w:t xml:space="preserve"> are generated</w:t>
      </w:r>
      <w:r w:rsidRPr="00500FA1">
        <w:rPr>
          <w:b w:val="0"/>
        </w:rPr>
        <w:t>.</w:t>
      </w:r>
    </w:p>
    <w:p w14:paraId="1D7A7F53" w14:textId="77777777" w:rsidR="00A40E5E" w:rsidRPr="00500FA1" w:rsidRDefault="00A40E5E" w:rsidP="00497071">
      <w:pPr>
        <w:pStyle w:val="BodyText"/>
        <w:spacing w:after="0" w:line="360" w:lineRule="auto"/>
        <w:jc w:val="both"/>
        <w:rPr>
          <w:b w:val="0"/>
        </w:rPr>
      </w:pPr>
    </w:p>
    <w:p w14:paraId="7F735383" w14:textId="37E34754" w:rsidR="00A40E5E" w:rsidRPr="00500FA1" w:rsidRDefault="00A40E5E" w:rsidP="00497071">
      <w:pPr>
        <w:pStyle w:val="BodyText"/>
        <w:spacing w:after="0" w:line="360" w:lineRule="auto"/>
        <w:jc w:val="both"/>
        <w:rPr>
          <w:b w:val="0"/>
        </w:rPr>
      </w:pPr>
      <w:r w:rsidRPr="007E103D">
        <w:rPr>
          <w:b w:val="0"/>
          <w:u w:val="single"/>
        </w:rPr>
        <w:t>Judgment</w:t>
      </w:r>
      <w:r w:rsidRPr="00500FA1">
        <w:rPr>
          <w:b w:val="0"/>
        </w:rPr>
        <w:t>:</w:t>
      </w:r>
      <w:r w:rsidR="00616255">
        <w:rPr>
          <w:b w:val="0"/>
        </w:rPr>
        <w:t xml:space="preserve"> </w:t>
      </w:r>
      <w:r w:rsidRPr="00500FA1">
        <w:rPr>
          <w:b w:val="0"/>
        </w:rPr>
        <w:t>Based on new research, information, and experience, the collective expertise available to the Company is used to refine model results to produce the best possible forecast.</w:t>
      </w:r>
    </w:p>
    <w:p w14:paraId="0657C9EC" w14:textId="77777777" w:rsidR="00A40E5E" w:rsidRPr="00500FA1" w:rsidRDefault="00A40E5E" w:rsidP="00500FA1">
      <w:pPr>
        <w:spacing w:line="360" w:lineRule="auto"/>
        <w:jc w:val="left"/>
        <w:rPr>
          <w:b w:val="0"/>
        </w:rPr>
      </w:pPr>
    </w:p>
    <w:p w14:paraId="70EA03A0" w14:textId="192A3E13" w:rsidR="00A40E5E" w:rsidRPr="003A3426" w:rsidRDefault="0097752B" w:rsidP="00500FA1">
      <w:pPr>
        <w:pStyle w:val="Heading2"/>
        <w:spacing w:line="360" w:lineRule="auto"/>
        <w:jc w:val="left"/>
      </w:pPr>
      <w:bookmarkStart w:id="579" w:name="_Toc503665912"/>
      <w:bookmarkStart w:id="580" w:name="_Toc59359841"/>
      <w:bookmarkStart w:id="581" w:name="_Toc347120488"/>
      <w:bookmarkStart w:id="582" w:name="_Toc188257189"/>
      <w:bookmarkStart w:id="583" w:name="_Toc188257404"/>
      <w:bookmarkStart w:id="584" w:name="_Toc188257628"/>
      <w:bookmarkStart w:id="585" w:name="_Toc189162638"/>
      <w:r>
        <w:rPr>
          <w:rFonts w:ascii="Arial" w:hAnsi="Arial" w:cs="Arial"/>
          <w:b/>
          <w:color w:val="auto"/>
          <w:sz w:val="20"/>
          <w:szCs w:val="20"/>
        </w:rPr>
        <w:t>10</w:t>
      </w:r>
      <w:r w:rsidR="00A40E5E" w:rsidRPr="00500FA1">
        <w:rPr>
          <w:rFonts w:ascii="Arial" w:hAnsi="Arial" w:cs="Arial"/>
          <w:b/>
          <w:color w:val="auto"/>
          <w:sz w:val="20"/>
          <w:szCs w:val="20"/>
        </w:rPr>
        <w:t>.4.2</w:t>
      </w:r>
      <w:r w:rsidR="00A40E5E" w:rsidRPr="00500FA1">
        <w:rPr>
          <w:rFonts w:ascii="Arial" w:hAnsi="Arial" w:cs="Arial"/>
          <w:b/>
          <w:color w:val="auto"/>
          <w:sz w:val="20"/>
          <w:szCs w:val="20"/>
        </w:rPr>
        <w:tab/>
        <w:t>Specific Enhancements</w:t>
      </w:r>
      <w:bookmarkEnd w:id="579"/>
      <w:bookmarkEnd w:id="580"/>
      <w:bookmarkEnd w:id="581"/>
      <w:bookmarkEnd w:id="582"/>
      <w:bookmarkEnd w:id="583"/>
      <w:bookmarkEnd w:id="584"/>
      <w:bookmarkEnd w:id="585"/>
    </w:p>
    <w:p w14:paraId="5C9A075C" w14:textId="77777777" w:rsidR="00500FA1" w:rsidRDefault="00500FA1" w:rsidP="00497071">
      <w:pPr>
        <w:pStyle w:val="BodyText"/>
        <w:spacing w:after="0" w:line="360" w:lineRule="auto"/>
        <w:jc w:val="left"/>
        <w:rPr>
          <w:b w:val="0"/>
        </w:rPr>
      </w:pPr>
    </w:p>
    <w:p w14:paraId="1C19468A" w14:textId="0614146A" w:rsidR="00A40E5E" w:rsidRPr="00500FA1" w:rsidRDefault="00A40E5E" w:rsidP="00497071">
      <w:pPr>
        <w:pStyle w:val="BodyText"/>
        <w:spacing w:after="0" w:line="360" w:lineRule="auto"/>
        <w:jc w:val="both"/>
        <w:rPr>
          <w:b w:val="0"/>
        </w:rPr>
      </w:pPr>
      <w:r w:rsidRPr="00500FA1">
        <w:rPr>
          <w:b w:val="0"/>
        </w:rPr>
        <w:t xml:space="preserve">Research, new information, and reviews of previous forecasts often reveal findings that enable the Company to make improvements </w:t>
      </w:r>
      <w:r w:rsidR="00B77294">
        <w:rPr>
          <w:b w:val="0"/>
        </w:rPr>
        <w:t>to</w:t>
      </w:r>
      <w:r w:rsidRPr="00500FA1">
        <w:rPr>
          <w:b w:val="0"/>
        </w:rPr>
        <w:t xml:space="preserve"> the forecast. The changes identified below chronicle the evolution of the </w:t>
      </w:r>
      <w:r w:rsidR="00CD0450">
        <w:rPr>
          <w:b w:val="0"/>
        </w:rPr>
        <w:t xml:space="preserve">budget </w:t>
      </w:r>
      <w:r w:rsidR="00A73669">
        <w:rPr>
          <w:b w:val="0"/>
        </w:rPr>
        <w:t xml:space="preserve">forecasts from </w:t>
      </w:r>
      <w:r w:rsidRPr="00500FA1">
        <w:rPr>
          <w:b w:val="0"/>
        </w:rPr>
        <w:t xml:space="preserve">Budget </w:t>
      </w:r>
      <w:r w:rsidR="00F34A92">
        <w:rPr>
          <w:b w:val="0"/>
        </w:rPr>
        <w:t>2019</w:t>
      </w:r>
      <w:r w:rsidR="00F34A92" w:rsidRPr="00500FA1">
        <w:rPr>
          <w:b w:val="0"/>
        </w:rPr>
        <w:t xml:space="preserve"> </w:t>
      </w:r>
      <w:r w:rsidRPr="00500FA1">
        <w:rPr>
          <w:b w:val="0"/>
        </w:rPr>
        <w:t xml:space="preserve">through the current Budget </w:t>
      </w:r>
      <w:r w:rsidR="00C10BE7">
        <w:rPr>
          <w:b w:val="0"/>
        </w:rPr>
        <w:t>2025</w:t>
      </w:r>
      <w:r w:rsidR="00C10BE7" w:rsidRPr="00500FA1">
        <w:rPr>
          <w:b w:val="0"/>
        </w:rPr>
        <w:t xml:space="preserve"> </w:t>
      </w:r>
      <w:r w:rsidRPr="00500FA1">
        <w:rPr>
          <w:b w:val="0"/>
        </w:rPr>
        <w:t xml:space="preserve">forecast. Budgets are typically completed in </w:t>
      </w:r>
      <w:r w:rsidR="005F3AFA">
        <w:rPr>
          <w:b w:val="0"/>
        </w:rPr>
        <w:t>August</w:t>
      </w:r>
      <w:r w:rsidRPr="00500FA1">
        <w:rPr>
          <w:b w:val="0"/>
        </w:rPr>
        <w:t xml:space="preserve"> of the previous year (</w:t>
      </w:r>
      <w:r w:rsidR="00C13824">
        <w:rPr>
          <w:b w:val="0"/>
        </w:rPr>
        <w:t>e.g.</w:t>
      </w:r>
      <w:r w:rsidR="005F3AFA">
        <w:rPr>
          <w:b w:val="0"/>
        </w:rPr>
        <w:t xml:space="preserve">, </w:t>
      </w:r>
      <w:r w:rsidRPr="00500FA1">
        <w:rPr>
          <w:b w:val="0"/>
        </w:rPr>
        <w:t xml:space="preserve">Budget </w:t>
      </w:r>
      <w:r w:rsidR="00C10BE7">
        <w:rPr>
          <w:b w:val="0"/>
        </w:rPr>
        <w:t>2025</w:t>
      </w:r>
      <w:r w:rsidR="00C10BE7" w:rsidRPr="00500FA1">
        <w:rPr>
          <w:b w:val="0"/>
        </w:rPr>
        <w:t xml:space="preserve"> </w:t>
      </w:r>
      <w:r w:rsidRPr="00500FA1">
        <w:rPr>
          <w:b w:val="0"/>
        </w:rPr>
        <w:t xml:space="preserve">was completed </w:t>
      </w:r>
      <w:r w:rsidR="005F3AFA">
        <w:rPr>
          <w:b w:val="0"/>
        </w:rPr>
        <w:t>in August</w:t>
      </w:r>
      <w:r w:rsidRPr="00500FA1">
        <w:rPr>
          <w:b w:val="0"/>
        </w:rPr>
        <w:t xml:space="preserve"> </w:t>
      </w:r>
      <w:r w:rsidR="00C10BE7">
        <w:rPr>
          <w:b w:val="0"/>
        </w:rPr>
        <w:t>2024</w:t>
      </w:r>
      <w:r w:rsidRPr="00500FA1">
        <w:rPr>
          <w:b w:val="0"/>
        </w:rPr>
        <w:t>). The major changes are identified below</w:t>
      </w:r>
      <w:r w:rsidR="006A4945">
        <w:rPr>
          <w:b w:val="0"/>
        </w:rPr>
        <w:t>.</w:t>
      </w:r>
      <w:r w:rsidR="00616255">
        <w:rPr>
          <w:b w:val="0"/>
        </w:rPr>
        <w:t xml:space="preserve"> </w:t>
      </w:r>
    </w:p>
    <w:p w14:paraId="10B3E81D" w14:textId="77777777" w:rsidR="00A40E5E" w:rsidRPr="00500FA1" w:rsidRDefault="00A40E5E" w:rsidP="00573B68"/>
    <w:p w14:paraId="77BFD1E6" w14:textId="77777777" w:rsidR="00C10BE7" w:rsidRDefault="00C10BE7">
      <w:pPr>
        <w:spacing w:after="200" w:line="276" w:lineRule="auto"/>
        <w:jc w:val="left"/>
      </w:pPr>
      <w:r>
        <w:br w:type="page"/>
      </w:r>
    </w:p>
    <w:p w14:paraId="3F4397C3" w14:textId="3D5C9899" w:rsidR="006932A2" w:rsidRDefault="00616255" w:rsidP="00F0024C">
      <w:pPr>
        <w:pStyle w:val="BodyText2"/>
        <w:spacing w:after="0" w:line="360" w:lineRule="auto"/>
        <w:jc w:val="both"/>
        <w:rPr>
          <w:b w:val="0"/>
        </w:rPr>
      </w:pPr>
      <w:bookmarkStart w:id="586" w:name="_Toc497031917"/>
      <w:bookmarkStart w:id="587" w:name="_Toc503665913"/>
      <w:bookmarkStart w:id="588" w:name="_Toc59359842"/>
      <w:r>
        <w:rPr>
          <w:b w:val="0"/>
        </w:rPr>
        <w:lastRenderedPageBreak/>
        <w:t xml:space="preserve"> </w:t>
      </w:r>
    </w:p>
    <w:p w14:paraId="00D9399F" w14:textId="77777777" w:rsidR="001E2023" w:rsidRDefault="001E2023" w:rsidP="00F0024C">
      <w:pPr>
        <w:pStyle w:val="BodyText2"/>
        <w:spacing w:after="0" w:line="360" w:lineRule="auto"/>
        <w:jc w:val="both"/>
        <w:rPr>
          <w:b w:val="0"/>
        </w:rPr>
      </w:pPr>
    </w:p>
    <w:p w14:paraId="04E375B9" w14:textId="48C96178" w:rsidR="00F0024C" w:rsidRPr="00636F0A" w:rsidRDefault="006932A2" w:rsidP="007B6C8C">
      <w:pPr>
        <w:spacing w:after="200" w:line="276" w:lineRule="auto"/>
        <w:jc w:val="left"/>
      </w:pPr>
      <w:r w:rsidRPr="00636F0A">
        <w:t>Budget 2019</w:t>
      </w:r>
    </w:p>
    <w:p w14:paraId="62027513" w14:textId="68023871" w:rsidR="004F5118" w:rsidRDefault="004F5118" w:rsidP="00F0024C">
      <w:pPr>
        <w:pStyle w:val="BodyText2"/>
        <w:spacing w:after="0" w:line="360" w:lineRule="auto"/>
        <w:jc w:val="both"/>
        <w:rPr>
          <w:b w:val="0"/>
        </w:rPr>
      </w:pPr>
      <w:r>
        <w:rPr>
          <w:b w:val="0"/>
        </w:rPr>
        <w:t>Changed economic service providers from Moody’s Analytics to IHS Markit following the issuance of a Request For Proposals in 2017. IHS Markit became Georgia Power’s provider of economic data and forecasts in January 2018 and these economic forecasts were used to produce Budget 2019.</w:t>
      </w:r>
      <w:r w:rsidR="00616255">
        <w:rPr>
          <w:b w:val="0"/>
        </w:rPr>
        <w:t xml:space="preserve"> </w:t>
      </w:r>
    </w:p>
    <w:p w14:paraId="1529DE91" w14:textId="77777777" w:rsidR="00895954" w:rsidRDefault="00895954" w:rsidP="00F0024C">
      <w:pPr>
        <w:pStyle w:val="BodyText2"/>
        <w:spacing w:after="0" w:line="360" w:lineRule="auto"/>
        <w:jc w:val="both"/>
        <w:rPr>
          <w:b w:val="0"/>
        </w:rPr>
      </w:pPr>
    </w:p>
    <w:p w14:paraId="74345E7D" w14:textId="2B3772B9" w:rsidR="00376C12" w:rsidRDefault="00313CF2" w:rsidP="00F0024C">
      <w:pPr>
        <w:pStyle w:val="BodyText2"/>
        <w:spacing w:after="0" w:line="360" w:lineRule="auto"/>
        <w:jc w:val="both"/>
        <w:rPr>
          <w:b w:val="0"/>
        </w:rPr>
      </w:pPr>
      <w:r>
        <w:rPr>
          <w:b w:val="0"/>
        </w:rPr>
        <w:t xml:space="preserve">The </w:t>
      </w:r>
      <w:r w:rsidR="00B814A8">
        <w:rPr>
          <w:b w:val="0"/>
        </w:rPr>
        <w:t xml:space="preserve">short-term </w:t>
      </w:r>
      <w:r>
        <w:rPr>
          <w:b w:val="0"/>
        </w:rPr>
        <w:t xml:space="preserve">econometric </w:t>
      </w:r>
      <w:r w:rsidR="00B814A8">
        <w:rPr>
          <w:b w:val="0"/>
        </w:rPr>
        <w:t xml:space="preserve">forecast </w:t>
      </w:r>
      <w:r w:rsidR="0025425B">
        <w:rPr>
          <w:b w:val="0"/>
        </w:rPr>
        <w:t xml:space="preserve">models </w:t>
      </w:r>
      <w:r w:rsidR="00B70FA3">
        <w:rPr>
          <w:b w:val="0"/>
        </w:rPr>
        <w:t xml:space="preserve">were tested for structural breaks and it was determined that </w:t>
      </w:r>
      <w:r w:rsidR="00A75702">
        <w:rPr>
          <w:b w:val="0"/>
        </w:rPr>
        <w:t xml:space="preserve">the </w:t>
      </w:r>
      <w:r w:rsidR="00B70FA3">
        <w:rPr>
          <w:b w:val="0"/>
        </w:rPr>
        <w:t>estimation periods needed to be</w:t>
      </w:r>
      <w:r w:rsidR="009F1FBB">
        <w:rPr>
          <w:b w:val="0"/>
        </w:rPr>
        <w:t xml:space="preserve"> shortened to better capture </w:t>
      </w:r>
      <w:r w:rsidR="00A75702">
        <w:rPr>
          <w:b w:val="0"/>
        </w:rPr>
        <w:t>the changing relationships impacting</w:t>
      </w:r>
      <w:r w:rsidR="00B70FA3">
        <w:rPr>
          <w:b w:val="0"/>
        </w:rPr>
        <w:t xml:space="preserve"> energy use</w:t>
      </w:r>
      <w:r w:rsidR="008B13CA">
        <w:rPr>
          <w:b w:val="0"/>
        </w:rPr>
        <w:t xml:space="preserve">. The time period used to estimate the residential model begins in January 2011; the commercial model begins in January 2009; and the industrial model begins in January 2010. </w:t>
      </w:r>
      <w:r>
        <w:rPr>
          <w:b w:val="0"/>
        </w:rPr>
        <w:t>In addition, e</w:t>
      </w:r>
      <w:r w:rsidR="00B70FA3">
        <w:rPr>
          <w:b w:val="0"/>
        </w:rPr>
        <w:t xml:space="preserve">lectricity prices </w:t>
      </w:r>
      <w:r>
        <w:rPr>
          <w:b w:val="0"/>
        </w:rPr>
        <w:t>we</w:t>
      </w:r>
      <w:r w:rsidR="00B70FA3">
        <w:rPr>
          <w:b w:val="0"/>
        </w:rPr>
        <w:t xml:space="preserve">re </w:t>
      </w:r>
      <w:r>
        <w:rPr>
          <w:b w:val="0"/>
        </w:rPr>
        <w:t>ex</w:t>
      </w:r>
      <w:r w:rsidR="00B70FA3">
        <w:rPr>
          <w:b w:val="0"/>
        </w:rPr>
        <w:t xml:space="preserve">cluded as </w:t>
      </w:r>
      <w:r w:rsidR="008B13CA">
        <w:rPr>
          <w:b w:val="0"/>
        </w:rPr>
        <w:t xml:space="preserve">a driver </w:t>
      </w:r>
      <w:r>
        <w:rPr>
          <w:b w:val="0"/>
        </w:rPr>
        <w:t>in</w:t>
      </w:r>
      <w:r w:rsidR="008B13CA">
        <w:rPr>
          <w:b w:val="0"/>
        </w:rPr>
        <w:t xml:space="preserve"> the short-term </w:t>
      </w:r>
      <w:r w:rsidR="00B70FA3">
        <w:rPr>
          <w:b w:val="0"/>
        </w:rPr>
        <w:t>energy</w:t>
      </w:r>
      <w:r w:rsidR="0025425B">
        <w:rPr>
          <w:b w:val="0"/>
        </w:rPr>
        <w:t xml:space="preserve"> </w:t>
      </w:r>
      <w:r w:rsidR="008B13CA">
        <w:rPr>
          <w:b w:val="0"/>
        </w:rPr>
        <w:t>models, although a price variable remains in the long-term model</w:t>
      </w:r>
      <w:r w:rsidR="00B70FA3">
        <w:rPr>
          <w:b w:val="0"/>
        </w:rPr>
        <w:t>s</w:t>
      </w:r>
      <w:r w:rsidR="008B13CA">
        <w:rPr>
          <w:b w:val="0"/>
        </w:rPr>
        <w:t xml:space="preserve">. </w:t>
      </w:r>
      <w:r>
        <w:rPr>
          <w:b w:val="0"/>
        </w:rPr>
        <w:t xml:space="preserve">Lastly, the </w:t>
      </w:r>
      <w:r w:rsidR="00B814A8">
        <w:rPr>
          <w:b w:val="0"/>
        </w:rPr>
        <w:t xml:space="preserve">short-term </w:t>
      </w:r>
      <w:r>
        <w:rPr>
          <w:b w:val="0"/>
        </w:rPr>
        <w:t xml:space="preserve">commercial model no longer includes households as a driver of energy use, and the short-term industrial model no longer </w:t>
      </w:r>
      <w:r w:rsidR="008D3811">
        <w:rPr>
          <w:b w:val="0"/>
        </w:rPr>
        <w:t xml:space="preserve">includes </w:t>
      </w:r>
      <w:r w:rsidR="00491040">
        <w:rPr>
          <w:b w:val="0"/>
        </w:rPr>
        <w:t xml:space="preserve">the </w:t>
      </w:r>
      <w:r>
        <w:rPr>
          <w:b w:val="0"/>
        </w:rPr>
        <w:t>Georgia Industrial Production Index</w:t>
      </w:r>
      <w:r w:rsidR="008D3811">
        <w:rPr>
          <w:b w:val="0"/>
        </w:rPr>
        <w:t xml:space="preserve"> as a driver</w:t>
      </w:r>
      <w:r>
        <w:rPr>
          <w:b w:val="0"/>
        </w:rPr>
        <w:t xml:space="preserve">. </w:t>
      </w:r>
    </w:p>
    <w:p w14:paraId="3102D79D" w14:textId="77777777" w:rsidR="00376C12" w:rsidRDefault="00376C12" w:rsidP="00754AAB">
      <w:pPr>
        <w:pStyle w:val="BodyText2"/>
        <w:spacing w:after="0" w:line="360" w:lineRule="auto"/>
        <w:jc w:val="both"/>
        <w:rPr>
          <w:b w:val="0"/>
        </w:rPr>
      </w:pPr>
    </w:p>
    <w:p w14:paraId="337F462F" w14:textId="7B809A8A" w:rsidR="00202E70" w:rsidRDefault="00376C12" w:rsidP="00754AAB">
      <w:pPr>
        <w:pStyle w:val="BodyText2"/>
        <w:spacing w:after="0" w:line="360" w:lineRule="auto"/>
        <w:jc w:val="both"/>
        <w:rPr>
          <w:b w:val="0"/>
        </w:rPr>
      </w:pPr>
      <w:r>
        <w:rPr>
          <w:b w:val="0"/>
        </w:rPr>
        <w:t xml:space="preserve">The </w:t>
      </w:r>
      <w:r w:rsidR="00461837">
        <w:rPr>
          <w:b w:val="0"/>
        </w:rPr>
        <w:t>c</w:t>
      </w:r>
      <w:r>
        <w:rPr>
          <w:b w:val="0"/>
        </w:rPr>
        <w:t xml:space="preserve">ommercial LoadMAP model was updated to better capture the impacts of energy efficiency and customer behavior. Specifically, the model </w:t>
      </w:r>
      <w:r w:rsidR="00560AEB">
        <w:rPr>
          <w:b w:val="0"/>
        </w:rPr>
        <w:t xml:space="preserve">used </w:t>
      </w:r>
      <w:r>
        <w:rPr>
          <w:b w:val="0"/>
        </w:rPr>
        <w:t xml:space="preserve">updated </w:t>
      </w:r>
      <w:r w:rsidR="00560AEB">
        <w:rPr>
          <w:b w:val="0"/>
        </w:rPr>
        <w:t>technology specifications</w:t>
      </w:r>
      <w:r w:rsidR="002B041E">
        <w:rPr>
          <w:b w:val="0"/>
        </w:rPr>
        <w:t>,</w:t>
      </w:r>
      <w:r w:rsidR="00560AEB">
        <w:rPr>
          <w:b w:val="0"/>
        </w:rPr>
        <w:t xml:space="preserve"> such as EERs and unit energy consumption, throughout the end-use categories</w:t>
      </w:r>
      <w:r>
        <w:rPr>
          <w:b w:val="0"/>
        </w:rPr>
        <w:t>.</w:t>
      </w:r>
      <w:r w:rsidR="00616255">
        <w:rPr>
          <w:b w:val="0"/>
        </w:rPr>
        <w:t xml:space="preserve"> </w:t>
      </w:r>
    </w:p>
    <w:p w14:paraId="02E0E393" w14:textId="77777777" w:rsidR="00202E70" w:rsidRDefault="00202E70" w:rsidP="00754AAB">
      <w:pPr>
        <w:pStyle w:val="BodyText2"/>
        <w:spacing w:after="0" w:line="360" w:lineRule="auto"/>
        <w:jc w:val="both"/>
        <w:rPr>
          <w:b w:val="0"/>
        </w:rPr>
      </w:pPr>
    </w:p>
    <w:p w14:paraId="5CD8F30D" w14:textId="6DFBEBEB" w:rsidR="00D21D06" w:rsidRDefault="00D21D06" w:rsidP="00754AAB">
      <w:pPr>
        <w:pStyle w:val="BodyText2"/>
        <w:spacing w:after="0" w:line="360" w:lineRule="auto"/>
        <w:jc w:val="both"/>
        <w:rPr>
          <w:b w:val="0"/>
        </w:rPr>
      </w:pPr>
      <w:r>
        <w:rPr>
          <w:b w:val="0"/>
        </w:rPr>
        <w:t>The RTP response model was updated by Christensen Associates Energy Consulting, LLC.</w:t>
      </w:r>
    </w:p>
    <w:p w14:paraId="74968EC7" w14:textId="30D27EB7" w:rsidR="00353DC1" w:rsidRDefault="00353DC1" w:rsidP="00754AAB">
      <w:pPr>
        <w:pStyle w:val="BodyText2"/>
        <w:spacing w:after="0" w:line="360" w:lineRule="auto"/>
        <w:jc w:val="both"/>
        <w:rPr>
          <w:b w:val="0"/>
        </w:rPr>
      </w:pPr>
    </w:p>
    <w:p w14:paraId="1653F851" w14:textId="0974F614" w:rsidR="00353DC1" w:rsidRPr="00445713" w:rsidRDefault="00353DC1" w:rsidP="00D21D06">
      <w:pPr>
        <w:pStyle w:val="BodyText2"/>
        <w:spacing w:line="360" w:lineRule="auto"/>
        <w:jc w:val="both"/>
      </w:pPr>
      <w:bookmarkStart w:id="589" w:name="_Hlk91073496"/>
      <w:r w:rsidRPr="00445713">
        <w:t>Budget 2020</w:t>
      </w:r>
    </w:p>
    <w:p w14:paraId="1D357141" w14:textId="46FFC78A" w:rsidR="00C37DF7" w:rsidRDefault="00C37DF7" w:rsidP="00754AAB">
      <w:pPr>
        <w:pStyle w:val="BodyText2"/>
        <w:spacing w:after="0" w:line="360" w:lineRule="auto"/>
        <w:jc w:val="both"/>
        <w:rPr>
          <w:b w:val="0"/>
          <w:bCs/>
        </w:rPr>
      </w:pPr>
      <w:r>
        <w:rPr>
          <w:b w:val="0"/>
          <w:bCs/>
        </w:rPr>
        <w:t xml:space="preserve">The </w:t>
      </w:r>
      <w:r w:rsidR="001E2023">
        <w:rPr>
          <w:b w:val="0"/>
          <w:bCs/>
        </w:rPr>
        <w:t>r</w:t>
      </w:r>
      <w:r>
        <w:rPr>
          <w:b w:val="0"/>
          <w:bCs/>
        </w:rPr>
        <w:t xml:space="preserve">esidential and </w:t>
      </w:r>
      <w:r w:rsidR="001E2023">
        <w:rPr>
          <w:b w:val="0"/>
          <w:bCs/>
        </w:rPr>
        <w:t>c</w:t>
      </w:r>
      <w:r>
        <w:rPr>
          <w:b w:val="0"/>
          <w:bCs/>
        </w:rPr>
        <w:t>ommercial customer models were changed from those in Budget 2019</w:t>
      </w:r>
      <w:r w:rsidR="00A23B15">
        <w:rPr>
          <w:b w:val="0"/>
          <w:bCs/>
        </w:rPr>
        <w:t>.</w:t>
      </w:r>
      <w:r>
        <w:rPr>
          <w:b w:val="0"/>
          <w:bCs/>
        </w:rPr>
        <w:t xml:space="preserve"> Residential changed from an annual change model to a monthly model and included the year-over-year change in Georgia households and the Georgia unemployment rate as explanatory variables. The </w:t>
      </w:r>
      <w:r w:rsidR="00234947">
        <w:rPr>
          <w:b w:val="0"/>
          <w:bCs/>
        </w:rPr>
        <w:t xml:space="preserve">commercial customer model remained an annual model and the </w:t>
      </w:r>
      <w:r>
        <w:rPr>
          <w:b w:val="0"/>
          <w:bCs/>
        </w:rPr>
        <w:t xml:space="preserve">driver of the model was </w:t>
      </w:r>
      <w:r w:rsidR="00694D59">
        <w:rPr>
          <w:b w:val="0"/>
          <w:bCs/>
        </w:rPr>
        <w:t xml:space="preserve">the number of </w:t>
      </w:r>
      <w:r>
        <w:rPr>
          <w:b w:val="0"/>
          <w:bCs/>
        </w:rPr>
        <w:t xml:space="preserve">Georgia households. </w:t>
      </w:r>
      <w:r w:rsidR="000C6759">
        <w:rPr>
          <w:b w:val="0"/>
          <w:bCs/>
        </w:rPr>
        <w:t>The estimation periods for these models were also shortened.</w:t>
      </w:r>
      <w:r w:rsidR="00616255">
        <w:rPr>
          <w:b w:val="0"/>
          <w:bCs/>
        </w:rPr>
        <w:t xml:space="preserve"> </w:t>
      </w:r>
      <w:r w:rsidR="00A23B15">
        <w:rPr>
          <w:b w:val="0"/>
          <w:bCs/>
        </w:rPr>
        <w:t xml:space="preserve"> </w:t>
      </w:r>
    </w:p>
    <w:p w14:paraId="61A6F11C" w14:textId="5C7C9736" w:rsidR="004B57BF" w:rsidRDefault="004B57BF" w:rsidP="00754AAB">
      <w:pPr>
        <w:pStyle w:val="BodyText2"/>
        <w:spacing w:after="0" w:line="360" w:lineRule="auto"/>
        <w:jc w:val="both"/>
        <w:rPr>
          <w:b w:val="0"/>
          <w:bCs/>
        </w:rPr>
      </w:pPr>
    </w:p>
    <w:p w14:paraId="32C1DCDE" w14:textId="5CED61DF" w:rsidR="004B57BF" w:rsidRPr="00B329C4" w:rsidRDefault="00B329C4" w:rsidP="00F0024C">
      <w:pPr>
        <w:pStyle w:val="BodyText2"/>
        <w:spacing w:after="0" w:line="360" w:lineRule="auto"/>
        <w:jc w:val="both"/>
        <w:rPr>
          <w:b w:val="0"/>
          <w:bCs/>
        </w:rPr>
      </w:pPr>
      <w:bookmarkStart w:id="590" w:name="_Hlk92218077"/>
      <w:r w:rsidRPr="00B329C4">
        <w:rPr>
          <w:b w:val="0"/>
          <w:bCs/>
          <w:color w:val="000000"/>
          <w:shd w:val="clear" w:color="auto" w:fill="FFFFFF"/>
        </w:rPr>
        <w:t>Residential electric vehicle load shapes developed by EPRI were first used in the P</w:t>
      </w:r>
      <w:r w:rsidR="001617A9">
        <w:rPr>
          <w:b w:val="0"/>
          <w:bCs/>
          <w:color w:val="000000"/>
          <w:shd w:val="clear" w:color="auto" w:fill="FFFFFF"/>
        </w:rPr>
        <w:t xml:space="preserve">eak </w:t>
      </w:r>
      <w:r w:rsidRPr="00B329C4">
        <w:rPr>
          <w:b w:val="0"/>
          <w:bCs/>
          <w:color w:val="000000"/>
          <w:shd w:val="clear" w:color="auto" w:fill="FFFFFF"/>
        </w:rPr>
        <w:t>D</w:t>
      </w:r>
      <w:r w:rsidR="001617A9">
        <w:rPr>
          <w:b w:val="0"/>
          <w:bCs/>
          <w:color w:val="000000"/>
          <w:shd w:val="clear" w:color="auto" w:fill="FFFFFF"/>
        </w:rPr>
        <w:t xml:space="preserve">emand </w:t>
      </w:r>
      <w:r w:rsidRPr="00B329C4">
        <w:rPr>
          <w:b w:val="0"/>
          <w:bCs/>
          <w:color w:val="000000"/>
          <w:shd w:val="clear" w:color="auto" w:fill="FFFFFF"/>
        </w:rPr>
        <w:t>M</w:t>
      </w:r>
      <w:r w:rsidR="001617A9">
        <w:rPr>
          <w:b w:val="0"/>
          <w:bCs/>
          <w:color w:val="000000"/>
          <w:shd w:val="clear" w:color="auto" w:fill="FFFFFF"/>
        </w:rPr>
        <w:t>odel</w:t>
      </w:r>
      <w:r w:rsidRPr="00B329C4">
        <w:rPr>
          <w:b w:val="0"/>
          <w:bCs/>
          <w:color w:val="000000"/>
          <w:shd w:val="clear" w:color="auto" w:fill="FFFFFF"/>
        </w:rPr>
        <w:t>. The EPRI shapes replaced the internally developed shapes previously used. Both sets of shapes represent charging upon returning home from work and overnight charging. The EPRI shapes also considers diversity among customers.</w:t>
      </w:r>
      <w:r w:rsidR="00E971EC" w:rsidRPr="00B329C4">
        <w:rPr>
          <w:b w:val="0"/>
          <w:bCs/>
        </w:rPr>
        <w:t xml:space="preserve"> </w:t>
      </w:r>
      <w:bookmarkEnd w:id="590"/>
    </w:p>
    <w:p w14:paraId="1570A278" w14:textId="33DA3A4E" w:rsidR="00B329C4" w:rsidRPr="001E2023" w:rsidRDefault="00C37DF7" w:rsidP="00F0024C">
      <w:pPr>
        <w:pStyle w:val="BodyText2"/>
        <w:spacing w:after="0" w:line="360" w:lineRule="auto"/>
        <w:jc w:val="both"/>
        <w:rPr>
          <w:b w:val="0"/>
          <w:bCs/>
        </w:rPr>
      </w:pPr>
      <w:r>
        <w:rPr>
          <w:b w:val="0"/>
          <w:bCs/>
        </w:rPr>
        <w:t xml:space="preserve"> </w:t>
      </w:r>
    </w:p>
    <w:p w14:paraId="006DAE8D" w14:textId="77777777" w:rsidR="00257341" w:rsidRDefault="00257341">
      <w:pPr>
        <w:spacing w:after="200" w:line="276" w:lineRule="auto"/>
        <w:jc w:val="left"/>
      </w:pPr>
      <w:r>
        <w:br w:type="page"/>
      </w:r>
    </w:p>
    <w:p w14:paraId="326AF753" w14:textId="32E7C497" w:rsidR="00353DC1" w:rsidRPr="00445713" w:rsidRDefault="00353DC1" w:rsidP="00D21D06">
      <w:pPr>
        <w:pStyle w:val="BodyText2"/>
        <w:spacing w:line="360" w:lineRule="auto"/>
        <w:jc w:val="both"/>
      </w:pPr>
      <w:r w:rsidRPr="00445713">
        <w:lastRenderedPageBreak/>
        <w:t>Budget 2021</w:t>
      </w:r>
    </w:p>
    <w:p w14:paraId="3A913212" w14:textId="1349D18F" w:rsidR="00BA3CEA" w:rsidRDefault="00C039FC" w:rsidP="00754AAB">
      <w:pPr>
        <w:pStyle w:val="BodyText2"/>
        <w:spacing w:after="0" w:line="360" w:lineRule="auto"/>
        <w:jc w:val="both"/>
        <w:rPr>
          <w:b w:val="0"/>
          <w:bCs/>
        </w:rPr>
      </w:pPr>
      <w:r>
        <w:rPr>
          <w:b w:val="0"/>
          <w:bCs/>
        </w:rPr>
        <w:t xml:space="preserve">The </w:t>
      </w:r>
      <w:r w:rsidR="00694D59">
        <w:rPr>
          <w:b w:val="0"/>
          <w:bCs/>
        </w:rPr>
        <w:t>C</w:t>
      </w:r>
      <w:r>
        <w:rPr>
          <w:b w:val="0"/>
          <w:bCs/>
        </w:rPr>
        <w:t>ovid-19 pandemic was just beginning as Budget 2021 was being developed. There was a great deal of uncertainty about the impact on economic growth and on electricity sales</w:t>
      </w:r>
      <w:r w:rsidR="00E95E35">
        <w:rPr>
          <w:b w:val="0"/>
          <w:bCs/>
        </w:rPr>
        <w:t xml:space="preserve"> and customers</w:t>
      </w:r>
      <w:r>
        <w:rPr>
          <w:b w:val="0"/>
          <w:bCs/>
        </w:rPr>
        <w:t>. Covid variables</w:t>
      </w:r>
      <w:r w:rsidR="000665A5">
        <w:rPr>
          <w:b w:val="0"/>
          <w:bCs/>
        </w:rPr>
        <w:t>, based on the</w:t>
      </w:r>
      <w:r w:rsidR="002068DE">
        <w:rPr>
          <w:b w:val="0"/>
          <w:bCs/>
        </w:rPr>
        <w:t xml:space="preserve"> Georgia GSP</w:t>
      </w:r>
      <w:r w:rsidR="000665A5">
        <w:rPr>
          <w:b w:val="0"/>
          <w:bCs/>
        </w:rPr>
        <w:t xml:space="preserve"> forecast from IHS Markit</w:t>
      </w:r>
      <w:r w:rsidR="002068DE">
        <w:rPr>
          <w:b w:val="0"/>
          <w:bCs/>
        </w:rPr>
        <w:t>,</w:t>
      </w:r>
      <w:r w:rsidR="00BA3CEA">
        <w:rPr>
          <w:b w:val="0"/>
          <w:bCs/>
        </w:rPr>
        <w:t xml:space="preserve"> </w:t>
      </w:r>
      <w:r>
        <w:rPr>
          <w:b w:val="0"/>
          <w:bCs/>
        </w:rPr>
        <w:t xml:space="preserve">were included in the </w:t>
      </w:r>
      <w:r w:rsidR="00234947">
        <w:rPr>
          <w:b w:val="0"/>
          <w:bCs/>
        </w:rPr>
        <w:t>c</w:t>
      </w:r>
      <w:r>
        <w:rPr>
          <w:b w:val="0"/>
          <w:bCs/>
        </w:rPr>
        <w:t xml:space="preserve">ommercial and </w:t>
      </w:r>
      <w:r w:rsidR="00234947">
        <w:rPr>
          <w:b w:val="0"/>
          <w:bCs/>
        </w:rPr>
        <w:t>i</w:t>
      </w:r>
      <w:r>
        <w:rPr>
          <w:b w:val="0"/>
          <w:bCs/>
        </w:rPr>
        <w:t>ndustrial short-term forecast models</w:t>
      </w:r>
      <w:r w:rsidR="000665A5">
        <w:rPr>
          <w:b w:val="0"/>
          <w:bCs/>
        </w:rPr>
        <w:t>.</w:t>
      </w:r>
      <w:r w:rsidR="00BA3CEA">
        <w:rPr>
          <w:b w:val="0"/>
          <w:bCs/>
        </w:rPr>
        <w:t xml:space="preserve"> In addition, t</w:t>
      </w:r>
      <w:r w:rsidR="00694D59">
        <w:rPr>
          <w:b w:val="0"/>
          <w:bCs/>
        </w:rPr>
        <w:t xml:space="preserve">he estimation period for the short-term energy forecast models </w:t>
      </w:r>
      <w:r w:rsidR="00BA3CEA">
        <w:rPr>
          <w:b w:val="0"/>
          <w:bCs/>
        </w:rPr>
        <w:t xml:space="preserve">was shortened to pick up more recent trends in usage. The </w:t>
      </w:r>
      <w:r w:rsidR="00234947">
        <w:rPr>
          <w:b w:val="0"/>
          <w:bCs/>
        </w:rPr>
        <w:t>i</w:t>
      </w:r>
      <w:r w:rsidR="00BA3CEA">
        <w:rPr>
          <w:b w:val="0"/>
          <w:bCs/>
        </w:rPr>
        <w:t>ndustrial model included a binary variable to capture the impact of a large customer shutting down part of its plant.</w:t>
      </w:r>
      <w:r w:rsidR="00E95E35">
        <w:rPr>
          <w:b w:val="0"/>
          <w:bCs/>
        </w:rPr>
        <w:t xml:space="preserve"> The </w:t>
      </w:r>
      <w:r w:rsidR="00C2003B">
        <w:rPr>
          <w:b w:val="0"/>
          <w:bCs/>
        </w:rPr>
        <w:t>r</w:t>
      </w:r>
      <w:r w:rsidR="00E95E35">
        <w:rPr>
          <w:b w:val="0"/>
          <w:bCs/>
        </w:rPr>
        <w:t>esidential customer model was an annual model, with the change in Geo</w:t>
      </w:r>
      <w:r w:rsidR="0068146D">
        <w:rPr>
          <w:b w:val="0"/>
          <w:bCs/>
        </w:rPr>
        <w:t>r</w:t>
      </w:r>
      <w:r w:rsidR="00E95E35">
        <w:rPr>
          <w:b w:val="0"/>
          <w:bCs/>
        </w:rPr>
        <w:t>gia h</w:t>
      </w:r>
      <w:r w:rsidR="0068146D">
        <w:rPr>
          <w:b w:val="0"/>
          <w:bCs/>
        </w:rPr>
        <w:t xml:space="preserve">ousing stock as the explanatory variable. The </w:t>
      </w:r>
      <w:r w:rsidR="00C2003B">
        <w:rPr>
          <w:b w:val="0"/>
          <w:bCs/>
        </w:rPr>
        <w:t>c</w:t>
      </w:r>
      <w:r w:rsidR="0068146D">
        <w:rPr>
          <w:b w:val="0"/>
          <w:bCs/>
        </w:rPr>
        <w:t xml:space="preserve">ommercial customer model included the change in the number of Georgia </w:t>
      </w:r>
      <w:r w:rsidR="00423BEF">
        <w:rPr>
          <w:b w:val="0"/>
          <w:bCs/>
        </w:rPr>
        <w:t xml:space="preserve">households </w:t>
      </w:r>
      <w:r w:rsidR="0068146D">
        <w:rPr>
          <w:b w:val="0"/>
          <w:bCs/>
        </w:rPr>
        <w:t>and a recession binary variable as explanatory variables.</w:t>
      </w:r>
    </w:p>
    <w:p w14:paraId="7B3A02FE" w14:textId="0278E9A9" w:rsidR="00056819" w:rsidRDefault="00616255" w:rsidP="00754AAB">
      <w:pPr>
        <w:pStyle w:val="BodyText2"/>
        <w:spacing w:after="0" w:line="360" w:lineRule="auto"/>
        <w:jc w:val="both"/>
        <w:rPr>
          <w:b w:val="0"/>
          <w:bCs/>
        </w:rPr>
      </w:pPr>
      <w:r>
        <w:rPr>
          <w:b w:val="0"/>
          <w:bCs/>
        </w:rPr>
        <w:t xml:space="preserve">  </w:t>
      </w:r>
    </w:p>
    <w:p w14:paraId="405BE8A6" w14:textId="587DA4B4" w:rsidR="00C039FC" w:rsidRDefault="0068146D" w:rsidP="00D146C7">
      <w:pPr>
        <w:spacing w:line="360" w:lineRule="auto"/>
        <w:jc w:val="both"/>
        <w:rPr>
          <w:b w:val="0"/>
          <w:bCs/>
        </w:rPr>
      </w:pPr>
      <w:r>
        <w:rPr>
          <w:b w:val="0"/>
          <w:bCs/>
        </w:rPr>
        <w:t xml:space="preserve">The </w:t>
      </w:r>
      <w:r w:rsidR="00761136">
        <w:rPr>
          <w:b w:val="0"/>
          <w:bCs/>
        </w:rPr>
        <w:t>LoadMAP models</w:t>
      </w:r>
      <w:r w:rsidR="00C039FC">
        <w:rPr>
          <w:b w:val="0"/>
          <w:bCs/>
        </w:rPr>
        <w:t xml:space="preserve"> were </w:t>
      </w:r>
      <w:r w:rsidR="00761136">
        <w:rPr>
          <w:b w:val="0"/>
          <w:bCs/>
        </w:rPr>
        <w:t>re-baselined</w:t>
      </w:r>
      <w:r w:rsidR="00C039FC" w:rsidRPr="00F63DA9">
        <w:rPr>
          <w:b w:val="0"/>
          <w:bCs/>
        </w:rPr>
        <w:t>.</w:t>
      </w:r>
      <w:r w:rsidR="00C039FC">
        <w:rPr>
          <w:b w:val="0"/>
          <w:bCs/>
        </w:rPr>
        <w:t xml:space="preserve"> </w:t>
      </w:r>
      <w:r w:rsidR="00C039FC" w:rsidRPr="00F63DA9">
        <w:rPr>
          <w:b w:val="0"/>
          <w:bCs/>
        </w:rPr>
        <w:t xml:space="preserve">Market profiles are used to quantify electricity use in the base year of the study by sector, segment, end use, and the current set of technologies. The re-baselining process rebuilt the market profiles for the </w:t>
      </w:r>
      <w:r w:rsidR="00D146C7">
        <w:rPr>
          <w:b w:val="0"/>
          <w:bCs/>
        </w:rPr>
        <w:t>r</w:t>
      </w:r>
      <w:r w:rsidR="00C039FC" w:rsidRPr="00F63DA9">
        <w:rPr>
          <w:b w:val="0"/>
          <w:bCs/>
        </w:rPr>
        <w:t xml:space="preserve">esidential, </w:t>
      </w:r>
      <w:r w:rsidR="00D146C7">
        <w:rPr>
          <w:b w:val="0"/>
          <w:bCs/>
        </w:rPr>
        <w:t>c</w:t>
      </w:r>
      <w:r w:rsidR="00C039FC" w:rsidRPr="00F63DA9">
        <w:rPr>
          <w:b w:val="0"/>
          <w:bCs/>
        </w:rPr>
        <w:t xml:space="preserve">ommercial, and </w:t>
      </w:r>
      <w:r w:rsidR="00D146C7">
        <w:rPr>
          <w:b w:val="0"/>
          <w:bCs/>
        </w:rPr>
        <w:t>i</w:t>
      </w:r>
      <w:r w:rsidR="00C039FC" w:rsidRPr="00F63DA9">
        <w:rPr>
          <w:b w:val="0"/>
          <w:bCs/>
        </w:rPr>
        <w:t xml:space="preserve">ndustrial sectors, </w:t>
      </w:r>
      <w:r>
        <w:rPr>
          <w:b w:val="0"/>
          <w:bCs/>
        </w:rPr>
        <w:t>and updated the base</w:t>
      </w:r>
      <w:r w:rsidR="00C039FC" w:rsidRPr="00F63DA9">
        <w:rPr>
          <w:b w:val="0"/>
          <w:bCs/>
        </w:rPr>
        <w:t xml:space="preserve"> year from 2007 to 2016. Base-year data such as customer counts, historic energy sales, equipment presence (saturations), market floor space (in </w:t>
      </w:r>
      <w:r w:rsidR="00461837">
        <w:rPr>
          <w:b w:val="0"/>
          <w:bCs/>
        </w:rPr>
        <w:t>c</w:t>
      </w:r>
      <w:r w:rsidR="00C039FC" w:rsidRPr="00F63DA9">
        <w:rPr>
          <w:b w:val="0"/>
          <w:bCs/>
        </w:rPr>
        <w:t>ommercial), Industrial Production and per-unit equipment electricity consumption (UEC/EUI) were updated.</w:t>
      </w:r>
      <w:r w:rsidR="00D146C7">
        <w:rPr>
          <w:b w:val="0"/>
          <w:bCs/>
        </w:rPr>
        <w:t xml:space="preserve"> </w:t>
      </w:r>
    </w:p>
    <w:p w14:paraId="0160F533" w14:textId="5769BCE2" w:rsidR="00761136" w:rsidRPr="00D146C7" w:rsidRDefault="00761136" w:rsidP="00D21D06">
      <w:pPr>
        <w:pStyle w:val="BodyText2"/>
        <w:spacing w:line="360" w:lineRule="auto"/>
        <w:jc w:val="both"/>
        <w:rPr>
          <w:b w:val="0"/>
          <w:bCs/>
        </w:rPr>
      </w:pPr>
    </w:p>
    <w:p w14:paraId="2A21AC67" w14:textId="54648F37" w:rsidR="00353DC1" w:rsidRPr="00445713" w:rsidRDefault="00353DC1" w:rsidP="00D21D06">
      <w:pPr>
        <w:pStyle w:val="BodyText2"/>
        <w:spacing w:line="360" w:lineRule="auto"/>
        <w:jc w:val="both"/>
      </w:pPr>
      <w:r w:rsidRPr="00445713">
        <w:t>Budget 2022</w:t>
      </w:r>
    </w:p>
    <w:p w14:paraId="73BD333E" w14:textId="05C5F87A" w:rsidR="00744D73" w:rsidRDefault="0026512E" w:rsidP="00D42444">
      <w:pPr>
        <w:pStyle w:val="BodyText2"/>
        <w:spacing w:after="0" w:line="360" w:lineRule="auto"/>
        <w:jc w:val="both"/>
        <w:rPr>
          <w:b w:val="0"/>
        </w:rPr>
      </w:pPr>
      <w:r>
        <w:rPr>
          <w:b w:val="0"/>
        </w:rPr>
        <w:t>As the impacts of Covid-19 continue</w:t>
      </w:r>
      <w:r w:rsidR="0068146D">
        <w:rPr>
          <w:b w:val="0"/>
        </w:rPr>
        <w:t>d</w:t>
      </w:r>
      <w:r>
        <w:rPr>
          <w:b w:val="0"/>
        </w:rPr>
        <w:t xml:space="preserve">, the estimation period for the </w:t>
      </w:r>
      <w:r w:rsidR="005642C4">
        <w:rPr>
          <w:b w:val="0"/>
        </w:rPr>
        <w:t xml:space="preserve">short-term </w:t>
      </w:r>
      <w:r w:rsidR="00461837">
        <w:rPr>
          <w:b w:val="0"/>
        </w:rPr>
        <w:t>c</w:t>
      </w:r>
      <w:r>
        <w:rPr>
          <w:b w:val="0"/>
        </w:rPr>
        <w:t xml:space="preserve">ommercial and </w:t>
      </w:r>
      <w:r w:rsidR="00461837">
        <w:rPr>
          <w:b w:val="0"/>
        </w:rPr>
        <w:t>i</w:t>
      </w:r>
      <w:r>
        <w:rPr>
          <w:b w:val="0"/>
        </w:rPr>
        <w:t xml:space="preserve">ndustrial models was shortened. Covid variables were </w:t>
      </w:r>
      <w:r w:rsidR="001845D0">
        <w:rPr>
          <w:b w:val="0"/>
        </w:rPr>
        <w:t>once again included</w:t>
      </w:r>
      <w:r w:rsidR="00E874E4">
        <w:rPr>
          <w:b w:val="0"/>
        </w:rPr>
        <w:t xml:space="preserve"> in the commercial and industrial models</w:t>
      </w:r>
      <w:r>
        <w:rPr>
          <w:b w:val="0"/>
        </w:rPr>
        <w:t xml:space="preserve">. </w:t>
      </w:r>
      <w:r w:rsidR="00E874E4">
        <w:rPr>
          <w:b w:val="0"/>
        </w:rPr>
        <w:t>The c</w:t>
      </w:r>
      <w:r>
        <w:rPr>
          <w:b w:val="0"/>
        </w:rPr>
        <w:t xml:space="preserve">ommercial </w:t>
      </w:r>
      <w:r w:rsidR="00423BEF">
        <w:rPr>
          <w:b w:val="0"/>
        </w:rPr>
        <w:t>model</w:t>
      </w:r>
      <w:r>
        <w:rPr>
          <w:b w:val="0"/>
        </w:rPr>
        <w:t xml:space="preserve"> </w:t>
      </w:r>
      <w:r w:rsidR="00E874E4">
        <w:rPr>
          <w:b w:val="0"/>
        </w:rPr>
        <w:t>included a</w:t>
      </w:r>
      <w:r>
        <w:rPr>
          <w:b w:val="0"/>
        </w:rPr>
        <w:t xml:space="preserve"> Covid variable based on the forecast of</w:t>
      </w:r>
      <w:r w:rsidR="00E874E4">
        <w:rPr>
          <w:b w:val="0"/>
        </w:rPr>
        <w:t xml:space="preserve"> the</w:t>
      </w:r>
      <w:r>
        <w:rPr>
          <w:b w:val="0"/>
        </w:rPr>
        <w:t xml:space="preserve"> Georgia unemployment rate</w:t>
      </w:r>
      <w:r w:rsidR="00E874E4">
        <w:rPr>
          <w:b w:val="0"/>
        </w:rPr>
        <w:t xml:space="preserve">, while the </w:t>
      </w:r>
      <w:r w:rsidR="00461837">
        <w:rPr>
          <w:b w:val="0"/>
        </w:rPr>
        <w:t>i</w:t>
      </w:r>
      <w:r w:rsidR="001845D0">
        <w:rPr>
          <w:b w:val="0"/>
        </w:rPr>
        <w:t>ndustrial</w:t>
      </w:r>
      <w:r w:rsidR="00E874E4">
        <w:rPr>
          <w:b w:val="0"/>
        </w:rPr>
        <w:t xml:space="preserve"> included </w:t>
      </w:r>
      <w:r>
        <w:rPr>
          <w:b w:val="0"/>
        </w:rPr>
        <w:t>a binary variable for April, May</w:t>
      </w:r>
      <w:r w:rsidR="00423BEF">
        <w:rPr>
          <w:b w:val="0"/>
        </w:rPr>
        <w:t>,</w:t>
      </w:r>
      <w:r>
        <w:rPr>
          <w:b w:val="0"/>
        </w:rPr>
        <w:t xml:space="preserve"> and June 2020.</w:t>
      </w:r>
    </w:p>
    <w:p w14:paraId="70DE5381" w14:textId="77777777" w:rsidR="00744D73" w:rsidRDefault="00744D73" w:rsidP="00D42444">
      <w:pPr>
        <w:pStyle w:val="BodyText2"/>
        <w:spacing w:after="0" w:line="360" w:lineRule="auto"/>
        <w:jc w:val="both"/>
        <w:rPr>
          <w:b w:val="0"/>
        </w:rPr>
      </w:pPr>
    </w:p>
    <w:p w14:paraId="5EABF810" w14:textId="5DB9132E" w:rsidR="00744D73" w:rsidRDefault="0026512E" w:rsidP="00D42444">
      <w:pPr>
        <w:pStyle w:val="BodyText2"/>
        <w:spacing w:after="0" w:line="360" w:lineRule="auto"/>
        <w:jc w:val="both"/>
        <w:rPr>
          <w:b w:val="0"/>
        </w:rPr>
      </w:pPr>
      <w:r>
        <w:rPr>
          <w:b w:val="0"/>
        </w:rPr>
        <w:t xml:space="preserve">In addition to the Covid binary variable, </w:t>
      </w:r>
      <w:r w:rsidR="00B92EC9">
        <w:rPr>
          <w:b w:val="0"/>
        </w:rPr>
        <w:t xml:space="preserve">changes to the drivers of the </w:t>
      </w:r>
      <w:r w:rsidR="00E95E35">
        <w:rPr>
          <w:b w:val="0"/>
        </w:rPr>
        <w:t xml:space="preserve">Budget 2022 </w:t>
      </w:r>
      <w:r w:rsidR="00461837">
        <w:rPr>
          <w:b w:val="0"/>
        </w:rPr>
        <w:t>i</w:t>
      </w:r>
      <w:r>
        <w:rPr>
          <w:b w:val="0"/>
        </w:rPr>
        <w:t xml:space="preserve">ndustrial model </w:t>
      </w:r>
      <w:r w:rsidR="00B92EC9">
        <w:rPr>
          <w:b w:val="0"/>
        </w:rPr>
        <w:t>include</w:t>
      </w:r>
      <w:r w:rsidR="00AD2942">
        <w:rPr>
          <w:b w:val="0"/>
        </w:rPr>
        <w:t>d</w:t>
      </w:r>
      <w:r w:rsidR="00B92EC9">
        <w:rPr>
          <w:b w:val="0"/>
        </w:rPr>
        <w:t xml:space="preserve"> the </w:t>
      </w:r>
      <w:r w:rsidR="002E65F4">
        <w:rPr>
          <w:b w:val="0"/>
        </w:rPr>
        <w:t>U</w:t>
      </w:r>
      <w:r w:rsidR="004C039E">
        <w:rPr>
          <w:b w:val="0"/>
        </w:rPr>
        <w:t>.</w:t>
      </w:r>
      <w:r w:rsidR="002E65F4">
        <w:rPr>
          <w:b w:val="0"/>
        </w:rPr>
        <w:t>S</w:t>
      </w:r>
      <w:r w:rsidR="004C039E">
        <w:rPr>
          <w:b w:val="0"/>
        </w:rPr>
        <w:t>.</w:t>
      </w:r>
      <w:r w:rsidR="00DB3655">
        <w:rPr>
          <w:b w:val="0"/>
        </w:rPr>
        <w:t xml:space="preserve"> </w:t>
      </w:r>
      <w:r w:rsidR="00B92EC9">
        <w:rPr>
          <w:b w:val="0"/>
        </w:rPr>
        <w:t>Industrial Production Index for manufacturing and a second binary variable to capture the impact of a large customer shu</w:t>
      </w:r>
      <w:r w:rsidR="00744D73">
        <w:rPr>
          <w:b w:val="0"/>
        </w:rPr>
        <w:t>t</w:t>
      </w:r>
      <w:r w:rsidR="00B92EC9">
        <w:rPr>
          <w:b w:val="0"/>
        </w:rPr>
        <w:t>t</w:t>
      </w:r>
      <w:r w:rsidR="00744D73">
        <w:rPr>
          <w:b w:val="0"/>
        </w:rPr>
        <w:t xml:space="preserve">ing </w:t>
      </w:r>
      <w:r w:rsidR="00B92EC9">
        <w:rPr>
          <w:b w:val="0"/>
        </w:rPr>
        <w:t xml:space="preserve">down its manufacturing plant. </w:t>
      </w:r>
    </w:p>
    <w:p w14:paraId="07F91E65" w14:textId="77777777" w:rsidR="00744D73" w:rsidRDefault="00744D73" w:rsidP="00D42444">
      <w:pPr>
        <w:pStyle w:val="BodyText2"/>
        <w:spacing w:after="0" w:line="360" w:lineRule="auto"/>
        <w:jc w:val="both"/>
        <w:rPr>
          <w:b w:val="0"/>
        </w:rPr>
      </w:pPr>
    </w:p>
    <w:p w14:paraId="6FB69A39" w14:textId="78973D5F" w:rsidR="0026512E" w:rsidRDefault="005642C4" w:rsidP="00D42444">
      <w:pPr>
        <w:pStyle w:val="BodyText2"/>
        <w:spacing w:after="0" w:line="360" w:lineRule="auto"/>
        <w:jc w:val="both"/>
        <w:rPr>
          <w:b w:val="0"/>
        </w:rPr>
      </w:pPr>
      <w:r>
        <w:rPr>
          <w:b w:val="0"/>
        </w:rPr>
        <w:t xml:space="preserve">Drivers of the </w:t>
      </w:r>
      <w:r w:rsidR="00461837">
        <w:rPr>
          <w:b w:val="0"/>
        </w:rPr>
        <w:t>r</w:t>
      </w:r>
      <w:r>
        <w:rPr>
          <w:b w:val="0"/>
        </w:rPr>
        <w:t xml:space="preserve">esidential customer model included Georgia housing starts, </w:t>
      </w:r>
      <w:r w:rsidR="00744D73">
        <w:rPr>
          <w:b w:val="0"/>
        </w:rPr>
        <w:t xml:space="preserve">the Georgia </w:t>
      </w:r>
      <w:r>
        <w:rPr>
          <w:b w:val="0"/>
        </w:rPr>
        <w:t xml:space="preserve">unemployment rate and a 2020 binary variable. The </w:t>
      </w:r>
      <w:r w:rsidR="00461837">
        <w:rPr>
          <w:b w:val="0"/>
        </w:rPr>
        <w:t>c</w:t>
      </w:r>
      <w:r>
        <w:rPr>
          <w:b w:val="0"/>
        </w:rPr>
        <w:t>ommercial customer included Georgia housing starts and a recession binary variable as explanatory variables.</w:t>
      </w:r>
      <w:r w:rsidR="00616255">
        <w:rPr>
          <w:b w:val="0"/>
        </w:rPr>
        <w:t xml:space="preserve">  </w:t>
      </w:r>
    </w:p>
    <w:p w14:paraId="44CFAE37" w14:textId="6E5B4E1E" w:rsidR="004B57BF" w:rsidRDefault="004B57BF" w:rsidP="00D42444">
      <w:pPr>
        <w:pStyle w:val="BodyText2"/>
        <w:spacing w:after="0" w:line="360" w:lineRule="auto"/>
        <w:jc w:val="both"/>
        <w:rPr>
          <w:b w:val="0"/>
        </w:rPr>
      </w:pPr>
    </w:p>
    <w:p w14:paraId="3FD0C272" w14:textId="6739C91A" w:rsidR="004B57BF" w:rsidRPr="00AD2942" w:rsidRDefault="00744D73" w:rsidP="007B6C8C">
      <w:pPr>
        <w:pStyle w:val="BodyText2"/>
        <w:spacing w:after="0" w:line="360" w:lineRule="auto"/>
        <w:jc w:val="both"/>
        <w:rPr>
          <w:b w:val="0"/>
          <w:bCs/>
        </w:rPr>
      </w:pPr>
      <w:r>
        <w:rPr>
          <w:b w:val="0"/>
          <w:bCs/>
        </w:rPr>
        <w:t xml:space="preserve">For Budget 2022, the forecast adjustments for Company-sponsored </w:t>
      </w:r>
      <w:r w:rsidR="004B57BF" w:rsidRPr="00744D73">
        <w:rPr>
          <w:b w:val="0"/>
          <w:bCs/>
        </w:rPr>
        <w:t xml:space="preserve">DSM programs are assumed to continue through the forecast horizon, rather than </w:t>
      </w:r>
      <w:r w:rsidR="00824F3F">
        <w:rPr>
          <w:b w:val="0"/>
          <w:bCs/>
        </w:rPr>
        <w:t>tapering off</w:t>
      </w:r>
      <w:r w:rsidR="004B57BF" w:rsidRPr="00744D73">
        <w:rPr>
          <w:b w:val="0"/>
          <w:bCs/>
        </w:rPr>
        <w:t xml:space="preserve"> after 12 years, as was done in past forecasts.</w:t>
      </w:r>
      <w:r>
        <w:rPr>
          <w:b w:val="0"/>
          <w:bCs/>
        </w:rPr>
        <w:t xml:space="preserve"> </w:t>
      </w:r>
    </w:p>
    <w:p w14:paraId="21D12DA5" w14:textId="77777777" w:rsidR="00B92EC9" w:rsidRDefault="00B92EC9" w:rsidP="007B6C8C">
      <w:pPr>
        <w:pStyle w:val="BodyText2"/>
        <w:spacing w:after="0" w:line="360" w:lineRule="auto"/>
        <w:jc w:val="both"/>
        <w:rPr>
          <w:b w:val="0"/>
        </w:rPr>
      </w:pPr>
    </w:p>
    <w:p w14:paraId="30D71A42" w14:textId="24ED3FDC" w:rsidR="00445713" w:rsidRPr="00445713" w:rsidRDefault="001E6A57" w:rsidP="00D42444">
      <w:pPr>
        <w:pStyle w:val="BodyText2"/>
        <w:spacing w:after="0" w:line="360" w:lineRule="auto"/>
        <w:jc w:val="both"/>
        <w:rPr>
          <w:b w:val="0"/>
        </w:rPr>
      </w:pPr>
      <w:r w:rsidRPr="00E2654C">
        <w:rPr>
          <w:b w:val="0"/>
          <w:bCs/>
        </w:rPr>
        <w:lastRenderedPageBreak/>
        <w:t>In a stipulation from the 2019 IRP, Georgia Power agreed to investigate methodologies for allocating long-term annual energy sales for each class to monthly amounts to account for anticipated trends in seasonal energy sales. A new methodology was developed and implemented in Budget 2022. The Company utilized hourly segment level end-use load shapes to project energy use by segment and by end</w:t>
      </w:r>
      <w:r>
        <w:rPr>
          <w:b w:val="0"/>
          <w:bCs/>
        </w:rPr>
        <w:t xml:space="preserve"> </w:t>
      </w:r>
      <w:r w:rsidRPr="00E2654C">
        <w:rPr>
          <w:b w:val="0"/>
          <w:bCs/>
        </w:rPr>
        <w:t xml:space="preserve">use to ultimately project energy use on a monthly basis for each class. The monthly energy by segment and end use is calibrated to history and the short-term energy forecast. The calibration helps allocate long-term energy projections across segment and at </w:t>
      </w:r>
      <w:r>
        <w:rPr>
          <w:b w:val="0"/>
          <w:bCs/>
        </w:rPr>
        <w:t xml:space="preserve">the </w:t>
      </w:r>
      <w:r w:rsidRPr="00E2654C">
        <w:rPr>
          <w:b w:val="0"/>
          <w:bCs/>
        </w:rPr>
        <w:t>end</w:t>
      </w:r>
      <w:r>
        <w:rPr>
          <w:b w:val="0"/>
          <w:bCs/>
        </w:rPr>
        <w:t>-</w:t>
      </w:r>
      <w:r w:rsidRPr="00E2654C">
        <w:rPr>
          <w:b w:val="0"/>
          <w:bCs/>
        </w:rPr>
        <w:t>use level by class.</w:t>
      </w:r>
      <w:r>
        <w:rPr>
          <w:b w:val="0"/>
          <w:bCs/>
        </w:rPr>
        <w:t xml:space="preserve"> </w:t>
      </w:r>
      <w:r w:rsidRPr="00D87FC6">
        <w:rPr>
          <w:b w:val="0"/>
          <w:bCs/>
        </w:rPr>
        <w:t xml:space="preserve">By allocating on a monthly basis and utilizing the long-term LoadMAP forecast results, </w:t>
      </w:r>
      <w:r>
        <w:rPr>
          <w:b w:val="0"/>
          <w:bCs/>
        </w:rPr>
        <w:t xml:space="preserve">the forecast now captures </w:t>
      </w:r>
      <w:r w:rsidRPr="00D87FC6">
        <w:rPr>
          <w:b w:val="0"/>
          <w:bCs/>
        </w:rPr>
        <w:t>the changing monthly trends through time.</w:t>
      </w:r>
    </w:p>
    <w:p w14:paraId="156C2638" w14:textId="587FA807" w:rsidR="00015FAE" w:rsidRDefault="00015FAE" w:rsidP="00754AAB">
      <w:pPr>
        <w:pStyle w:val="BodyText2"/>
        <w:spacing w:after="0" w:line="360" w:lineRule="auto"/>
        <w:jc w:val="both"/>
        <w:rPr>
          <w:b w:val="0"/>
        </w:rPr>
      </w:pPr>
    </w:p>
    <w:p w14:paraId="1E516072" w14:textId="35AB1661" w:rsidR="00015FAE" w:rsidRPr="00372CB0" w:rsidRDefault="00015FAE" w:rsidP="005034D1">
      <w:pPr>
        <w:pStyle w:val="BodyText2"/>
        <w:spacing w:line="360" w:lineRule="auto"/>
        <w:jc w:val="both"/>
        <w:rPr>
          <w:bCs/>
          <w:color w:val="FF0000"/>
        </w:rPr>
      </w:pPr>
      <w:r w:rsidRPr="003D45DE">
        <w:rPr>
          <w:bCs/>
        </w:rPr>
        <w:t>Budget 2023</w:t>
      </w:r>
    </w:p>
    <w:p w14:paraId="679481A0" w14:textId="018F516A" w:rsidR="00015FAE" w:rsidRPr="00372CB0" w:rsidRDefault="008E421C" w:rsidP="00754AAB">
      <w:pPr>
        <w:pStyle w:val="BodyText2"/>
        <w:spacing w:after="0" w:line="360" w:lineRule="auto"/>
        <w:jc w:val="both"/>
        <w:rPr>
          <w:b w:val="0"/>
        </w:rPr>
      </w:pPr>
      <w:r w:rsidRPr="00372CB0">
        <w:rPr>
          <w:b w:val="0"/>
        </w:rPr>
        <w:t>Budget 2023</w:t>
      </w:r>
      <w:r w:rsidR="00AD63D9">
        <w:rPr>
          <w:b w:val="0"/>
        </w:rPr>
        <w:t xml:space="preserve">, completed in the Fall of 2022, captured the very beginning of the unprecedented </w:t>
      </w:r>
      <w:r w:rsidR="00D91858">
        <w:rPr>
          <w:b w:val="0"/>
        </w:rPr>
        <w:t xml:space="preserve">economic growth </w:t>
      </w:r>
      <w:r w:rsidR="004926C4">
        <w:rPr>
          <w:b w:val="0"/>
        </w:rPr>
        <w:t>led by large data centers and large new industrial loads</w:t>
      </w:r>
      <w:r w:rsidR="00327C6E">
        <w:rPr>
          <w:b w:val="0"/>
        </w:rPr>
        <w:t xml:space="preserve">. </w:t>
      </w:r>
      <w:r w:rsidR="001C05F6">
        <w:rPr>
          <w:b w:val="0"/>
        </w:rPr>
        <w:t xml:space="preserve">There was not a formal methodology </w:t>
      </w:r>
      <w:r w:rsidR="008A0883">
        <w:rPr>
          <w:b w:val="0"/>
        </w:rPr>
        <w:t xml:space="preserve">evaluating the </w:t>
      </w:r>
      <w:r w:rsidR="005677C1">
        <w:rPr>
          <w:b w:val="0"/>
        </w:rPr>
        <w:t xml:space="preserve">uncertainties around the new loads, including the probability </w:t>
      </w:r>
      <w:r w:rsidR="00B3189E">
        <w:rPr>
          <w:b w:val="0"/>
        </w:rPr>
        <w:t xml:space="preserve">of choosing Georgia, the </w:t>
      </w:r>
      <w:r w:rsidR="001665DB">
        <w:rPr>
          <w:b w:val="0"/>
        </w:rPr>
        <w:t>probability</w:t>
      </w:r>
      <w:r w:rsidR="00B3189E">
        <w:rPr>
          <w:b w:val="0"/>
        </w:rPr>
        <w:t xml:space="preserve"> of choosing Georgia Power to serve the load, </w:t>
      </w:r>
      <w:r w:rsidR="00784560">
        <w:rPr>
          <w:b w:val="0"/>
        </w:rPr>
        <w:t xml:space="preserve">and </w:t>
      </w:r>
      <w:r w:rsidR="004E1055">
        <w:rPr>
          <w:b w:val="0"/>
        </w:rPr>
        <w:t>if the load w</w:t>
      </w:r>
      <w:r w:rsidR="00AF37FA">
        <w:rPr>
          <w:b w:val="0"/>
        </w:rPr>
        <w:t>ould</w:t>
      </w:r>
      <w:r w:rsidR="004E1055">
        <w:rPr>
          <w:b w:val="0"/>
        </w:rPr>
        <w:t xml:space="preserve"> actually materialize</w:t>
      </w:r>
      <w:r w:rsidR="00F83B78">
        <w:rPr>
          <w:b w:val="0"/>
        </w:rPr>
        <w:t>.</w:t>
      </w:r>
      <w:r w:rsidR="00862B96">
        <w:rPr>
          <w:b w:val="0"/>
        </w:rPr>
        <w:t xml:space="preserve"> In Budget 2023, </w:t>
      </w:r>
      <w:r w:rsidR="005D0C51">
        <w:rPr>
          <w:b w:val="0"/>
        </w:rPr>
        <w:t>there were just 5 data center announcements. The forecast relied on informed ju</w:t>
      </w:r>
      <w:r w:rsidR="00EF2769">
        <w:rPr>
          <w:b w:val="0"/>
        </w:rPr>
        <w:t xml:space="preserve">dgement of company personnel to derive an estimate of </w:t>
      </w:r>
      <w:r w:rsidR="00C63646">
        <w:rPr>
          <w:b w:val="0"/>
        </w:rPr>
        <w:t>expected load to include in the forecast.</w:t>
      </w:r>
      <w:r w:rsidR="00AD189E">
        <w:rPr>
          <w:b w:val="0"/>
        </w:rPr>
        <w:t xml:space="preserve"> </w:t>
      </w:r>
      <w:r w:rsidR="00C156D1">
        <w:rPr>
          <w:b w:val="0"/>
        </w:rPr>
        <w:t xml:space="preserve">This estimate </w:t>
      </w:r>
      <w:r w:rsidR="00FD1BB0">
        <w:rPr>
          <w:b w:val="0"/>
        </w:rPr>
        <w:t>of expected load was included in Budget 2023 as an external adjustment</w:t>
      </w:r>
      <w:r w:rsidR="0022662E">
        <w:rPr>
          <w:b w:val="0"/>
        </w:rPr>
        <w:t>.</w:t>
      </w:r>
      <w:r w:rsidR="00EF2769">
        <w:rPr>
          <w:b w:val="0"/>
        </w:rPr>
        <w:t xml:space="preserve"> </w:t>
      </w:r>
      <w:r w:rsidR="005F2BA9">
        <w:rPr>
          <w:b w:val="0"/>
        </w:rPr>
        <w:t xml:space="preserve">  </w:t>
      </w:r>
      <w:r w:rsidR="001C05F6">
        <w:rPr>
          <w:b w:val="0"/>
        </w:rPr>
        <w:t xml:space="preserve"> </w:t>
      </w:r>
      <w:r w:rsidR="004926C4">
        <w:rPr>
          <w:b w:val="0"/>
        </w:rPr>
        <w:t xml:space="preserve"> </w:t>
      </w:r>
      <w:r w:rsidR="00AD63D9">
        <w:rPr>
          <w:b w:val="0"/>
        </w:rPr>
        <w:t xml:space="preserve"> </w:t>
      </w:r>
    </w:p>
    <w:p w14:paraId="141FF3EF" w14:textId="77777777" w:rsidR="00015FAE" w:rsidRDefault="00015FAE" w:rsidP="00754AAB">
      <w:pPr>
        <w:pStyle w:val="BodyText2"/>
        <w:spacing w:after="0" w:line="360" w:lineRule="auto"/>
        <w:jc w:val="both"/>
        <w:rPr>
          <w:bCs/>
        </w:rPr>
      </w:pPr>
    </w:p>
    <w:p w14:paraId="2AD31F94" w14:textId="76A8F599" w:rsidR="00015FAE" w:rsidRDefault="00015FAE" w:rsidP="005034D1">
      <w:pPr>
        <w:pStyle w:val="BodyText2"/>
        <w:spacing w:line="360" w:lineRule="auto"/>
        <w:jc w:val="both"/>
        <w:rPr>
          <w:bCs/>
        </w:rPr>
      </w:pPr>
      <w:r>
        <w:rPr>
          <w:bCs/>
        </w:rPr>
        <w:t>Budget 2024</w:t>
      </w:r>
    </w:p>
    <w:p w14:paraId="292671FF" w14:textId="240463C1" w:rsidR="0098327C" w:rsidRDefault="003D30D6" w:rsidP="00BD743C">
      <w:pPr>
        <w:spacing w:line="360" w:lineRule="auto"/>
        <w:jc w:val="both"/>
        <w:rPr>
          <w:b w:val="0"/>
        </w:rPr>
      </w:pPr>
      <w:r>
        <w:rPr>
          <w:b w:val="0"/>
        </w:rPr>
        <w:t xml:space="preserve">As 2023 went on, </w:t>
      </w:r>
      <w:r w:rsidR="00CE701F">
        <w:rPr>
          <w:b w:val="0"/>
        </w:rPr>
        <w:t>Georgia</w:t>
      </w:r>
      <w:r w:rsidR="00856649">
        <w:rPr>
          <w:b w:val="0"/>
        </w:rPr>
        <w:t xml:space="preserve"> saw more and more large load customers, </w:t>
      </w:r>
      <w:r w:rsidR="00CE701F">
        <w:rPr>
          <w:b w:val="0"/>
        </w:rPr>
        <w:t xml:space="preserve">including </w:t>
      </w:r>
      <w:r w:rsidR="00856649">
        <w:rPr>
          <w:b w:val="0"/>
        </w:rPr>
        <w:t xml:space="preserve">data centers and industrial </w:t>
      </w:r>
      <w:r w:rsidR="000D1A1F">
        <w:rPr>
          <w:b w:val="0"/>
        </w:rPr>
        <w:t xml:space="preserve">projects, </w:t>
      </w:r>
      <w:r w:rsidR="0037174B">
        <w:rPr>
          <w:b w:val="0"/>
        </w:rPr>
        <w:t xml:space="preserve">expressing interest in building projects </w:t>
      </w:r>
      <w:r w:rsidR="00920566">
        <w:rPr>
          <w:b w:val="0"/>
        </w:rPr>
        <w:t>in the state.</w:t>
      </w:r>
      <w:r w:rsidR="00856649">
        <w:rPr>
          <w:b w:val="0"/>
        </w:rPr>
        <w:t xml:space="preserve"> </w:t>
      </w:r>
      <w:r w:rsidR="009E4ED0" w:rsidRPr="009E4ED0">
        <w:rPr>
          <w:b w:val="0"/>
        </w:rPr>
        <w:t>T</w:t>
      </w:r>
      <w:r w:rsidR="009E4ED0" w:rsidRPr="00BD743C">
        <w:rPr>
          <w:b w:val="0"/>
        </w:rPr>
        <w:t xml:space="preserve">he Company </w:t>
      </w:r>
      <w:r w:rsidR="00C32D8C">
        <w:rPr>
          <w:b w:val="0"/>
        </w:rPr>
        <w:t>experienced extraordina</w:t>
      </w:r>
      <w:r w:rsidR="00535189">
        <w:rPr>
          <w:b w:val="0"/>
        </w:rPr>
        <w:t>ry growth as</w:t>
      </w:r>
      <w:r w:rsidR="009E4ED0" w:rsidRPr="00BD743C">
        <w:rPr>
          <w:b w:val="0"/>
        </w:rPr>
        <w:t xml:space="preserve"> a significant number of new large customer projects </w:t>
      </w:r>
      <w:r w:rsidR="00E43B41">
        <w:rPr>
          <w:b w:val="0"/>
        </w:rPr>
        <w:t>requested service</w:t>
      </w:r>
      <w:r w:rsidR="00D44A0E">
        <w:rPr>
          <w:b w:val="0"/>
        </w:rPr>
        <w:t xml:space="preserve"> </w:t>
      </w:r>
      <w:r w:rsidR="009E4ED0" w:rsidRPr="00BD743C">
        <w:rPr>
          <w:b w:val="0"/>
        </w:rPr>
        <w:t xml:space="preserve">in such a short period of time. As a result, Georgia Power had to develop a way to estimate the impacts of these projects on its system, while also addressing the inherent uncertainties around whether such projects </w:t>
      </w:r>
      <w:r w:rsidR="008034C8" w:rsidRPr="00BD743C">
        <w:rPr>
          <w:b w:val="0"/>
        </w:rPr>
        <w:t>w</w:t>
      </w:r>
      <w:r w:rsidR="008034C8">
        <w:rPr>
          <w:b w:val="0"/>
        </w:rPr>
        <w:t>ould</w:t>
      </w:r>
      <w:r w:rsidR="008034C8" w:rsidRPr="00BD743C">
        <w:rPr>
          <w:b w:val="0"/>
        </w:rPr>
        <w:t xml:space="preserve"> </w:t>
      </w:r>
      <w:r w:rsidR="009E4ED0" w:rsidRPr="00BD743C">
        <w:rPr>
          <w:b w:val="0"/>
        </w:rPr>
        <w:t>ultimately locate in Georgia, select Georgia Power as the electric service provider, and come online with the anticipated load. The probabilistic model Georgia Power developed</w:t>
      </w:r>
      <w:r w:rsidR="00CE30F3">
        <w:rPr>
          <w:b w:val="0"/>
        </w:rPr>
        <w:t xml:space="preserve"> is known as the </w:t>
      </w:r>
      <w:r w:rsidR="0098327C" w:rsidRPr="00BD743C">
        <w:rPr>
          <w:b w:val="0"/>
        </w:rPr>
        <w:t xml:space="preserve">Load Realization </w:t>
      </w:r>
      <w:r w:rsidR="003C5207">
        <w:rPr>
          <w:b w:val="0"/>
        </w:rPr>
        <w:t>M</w:t>
      </w:r>
      <w:r w:rsidR="0098327C" w:rsidRPr="00BD743C">
        <w:rPr>
          <w:b w:val="0"/>
        </w:rPr>
        <w:t>odel</w:t>
      </w:r>
      <w:r w:rsidR="003C5207">
        <w:rPr>
          <w:b w:val="0"/>
        </w:rPr>
        <w:t xml:space="preserve">. </w:t>
      </w:r>
      <w:r w:rsidR="00CE30F3">
        <w:rPr>
          <w:b w:val="0"/>
        </w:rPr>
        <w:t xml:space="preserve">This model was first used </w:t>
      </w:r>
      <w:r w:rsidR="00B53364">
        <w:rPr>
          <w:b w:val="0"/>
        </w:rPr>
        <w:t xml:space="preserve">in the 2023 IRP Update </w:t>
      </w:r>
      <w:r w:rsidR="008566F4">
        <w:rPr>
          <w:b w:val="0"/>
        </w:rPr>
        <w:t xml:space="preserve">filed </w:t>
      </w:r>
      <w:r w:rsidR="00B53364">
        <w:rPr>
          <w:b w:val="0"/>
        </w:rPr>
        <w:t xml:space="preserve">in October 2023. </w:t>
      </w:r>
      <w:r w:rsidR="003B1C50">
        <w:rPr>
          <w:b w:val="0"/>
        </w:rPr>
        <w:t>For more information on th</w:t>
      </w:r>
      <w:r w:rsidR="00054EBE">
        <w:rPr>
          <w:b w:val="0"/>
        </w:rPr>
        <w:t>is</w:t>
      </w:r>
      <w:r w:rsidR="003B1C50">
        <w:rPr>
          <w:b w:val="0"/>
        </w:rPr>
        <w:t xml:space="preserve"> model, please see Section 7</w:t>
      </w:r>
      <w:r w:rsidR="00054EBE">
        <w:rPr>
          <w:b w:val="0"/>
        </w:rPr>
        <w:t>.</w:t>
      </w:r>
    </w:p>
    <w:p w14:paraId="1432B067" w14:textId="77777777" w:rsidR="007D32EE" w:rsidRDefault="007D32EE" w:rsidP="007D32EE">
      <w:pPr>
        <w:pStyle w:val="BodyText2"/>
        <w:spacing w:after="0" w:line="360" w:lineRule="auto"/>
        <w:jc w:val="both"/>
        <w:rPr>
          <w:b w:val="0"/>
        </w:rPr>
      </w:pPr>
    </w:p>
    <w:p w14:paraId="3D86C67C" w14:textId="5EF63D43" w:rsidR="009837CB" w:rsidRDefault="00FE2AD2" w:rsidP="007D32EE">
      <w:pPr>
        <w:pStyle w:val="BodyText2"/>
        <w:spacing w:after="0" w:line="360" w:lineRule="auto"/>
        <w:jc w:val="both"/>
        <w:rPr>
          <w:b w:val="0"/>
        </w:rPr>
      </w:pPr>
      <w:r>
        <w:rPr>
          <w:b w:val="0"/>
        </w:rPr>
        <w:t xml:space="preserve">Budget 2024 was the first time that medium- and heavy-duty </w:t>
      </w:r>
      <w:r w:rsidR="00CD1B17">
        <w:rPr>
          <w:b w:val="0"/>
        </w:rPr>
        <w:t xml:space="preserve">EV </w:t>
      </w:r>
      <w:r w:rsidR="009A082C">
        <w:rPr>
          <w:b w:val="0"/>
        </w:rPr>
        <w:t>trucks were included in the forecast. As technology improves</w:t>
      </w:r>
      <w:r w:rsidR="0095208E">
        <w:rPr>
          <w:b w:val="0"/>
        </w:rPr>
        <w:t xml:space="preserve">, these vehicles are expected to have a significant </w:t>
      </w:r>
      <w:r w:rsidR="00BD6909">
        <w:rPr>
          <w:b w:val="0"/>
        </w:rPr>
        <w:t xml:space="preserve">positive </w:t>
      </w:r>
      <w:r w:rsidR="0095208E">
        <w:rPr>
          <w:b w:val="0"/>
        </w:rPr>
        <w:t xml:space="preserve">impact on </w:t>
      </w:r>
      <w:r w:rsidR="00BD6909">
        <w:rPr>
          <w:b w:val="0"/>
        </w:rPr>
        <w:t>electric sales</w:t>
      </w:r>
      <w:r w:rsidR="00FF5100">
        <w:rPr>
          <w:b w:val="0"/>
        </w:rPr>
        <w:t xml:space="preserve"> over the forecast horizon</w:t>
      </w:r>
      <w:r w:rsidR="00BD6909">
        <w:rPr>
          <w:b w:val="0"/>
        </w:rPr>
        <w:t xml:space="preserve">. </w:t>
      </w:r>
      <w:r w:rsidR="00FF5100">
        <w:rPr>
          <w:b w:val="0"/>
        </w:rPr>
        <w:t>Georgia Power utilize</w:t>
      </w:r>
      <w:r w:rsidR="002613F9">
        <w:rPr>
          <w:b w:val="0"/>
        </w:rPr>
        <w:t xml:space="preserve">d a forecast from EPRI and developed load shapes to </w:t>
      </w:r>
      <w:r w:rsidR="006D022D">
        <w:rPr>
          <w:b w:val="0"/>
        </w:rPr>
        <w:t xml:space="preserve">include </w:t>
      </w:r>
      <w:r w:rsidR="002613F9">
        <w:rPr>
          <w:b w:val="0"/>
        </w:rPr>
        <w:t xml:space="preserve">these </w:t>
      </w:r>
      <w:r w:rsidR="009837CB">
        <w:rPr>
          <w:b w:val="0"/>
        </w:rPr>
        <w:t xml:space="preserve">vehicles over the forecast horizon. </w:t>
      </w:r>
    </w:p>
    <w:p w14:paraId="768570A4" w14:textId="3BD034CF" w:rsidR="00EA5D6B" w:rsidRDefault="009837CB" w:rsidP="007D32EE">
      <w:pPr>
        <w:pStyle w:val="BodyText2"/>
        <w:spacing w:after="0" w:line="360" w:lineRule="auto"/>
        <w:jc w:val="both"/>
        <w:rPr>
          <w:b w:val="0"/>
        </w:rPr>
      </w:pPr>
      <w:r>
        <w:rPr>
          <w:b w:val="0"/>
        </w:rPr>
        <w:t xml:space="preserve"> </w:t>
      </w:r>
      <w:r w:rsidR="0095208E">
        <w:rPr>
          <w:b w:val="0"/>
        </w:rPr>
        <w:t xml:space="preserve"> </w:t>
      </w:r>
      <w:r w:rsidR="00FE2AD2">
        <w:rPr>
          <w:b w:val="0"/>
        </w:rPr>
        <w:t xml:space="preserve"> </w:t>
      </w:r>
    </w:p>
    <w:p w14:paraId="1D2FC732" w14:textId="226ACE9F" w:rsidR="007D32EE" w:rsidRDefault="007D32EE" w:rsidP="007D32EE">
      <w:pPr>
        <w:pStyle w:val="BodyText2"/>
        <w:spacing w:after="0" w:line="360" w:lineRule="auto"/>
        <w:jc w:val="both"/>
        <w:rPr>
          <w:b w:val="0"/>
        </w:rPr>
      </w:pPr>
      <w:r>
        <w:rPr>
          <w:b w:val="0"/>
        </w:rPr>
        <w:t xml:space="preserve">One outcome of the 2022 IRP was that Georgia Power was instructed to conduct an updated residential appliance saturation survey. This survey was conducted towards the end of 2022 and the beginning of </w:t>
      </w:r>
      <w:r>
        <w:rPr>
          <w:b w:val="0"/>
        </w:rPr>
        <w:lastRenderedPageBreak/>
        <w:t xml:space="preserve">2023. Although the saturation survey had been completed in 2023, it was not available in time to incorporate it in the B23 forecast, it was included in </w:t>
      </w:r>
      <w:r w:rsidR="0075379E">
        <w:rPr>
          <w:b w:val="0"/>
        </w:rPr>
        <w:t xml:space="preserve">the </w:t>
      </w:r>
      <w:r>
        <w:rPr>
          <w:b w:val="0"/>
        </w:rPr>
        <w:t xml:space="preserve">Budget 2024 </w:t>
      </w:r>
      <w:r w:rsidR="00D918C1">
        <w:rPr>
          <w:b w:val="0"/>
        </w:rPr>
        <w:t>residential LoadMAP model.</w:t>
      </w:r>
    </w:p>
    <w:p w14:paraId="19BF240F" w14:textId="77777777" w:rsidR="00397586" w:rsidRDefault="00397586" w:rsidP="007D32EE">
      <w:pPr>
        <w:pStyle w:val="BodyText2"/>
        <w:spacing w:after="0" w:line="360" w:lineRule="auto"/>
        <w:jc w:val="both"/>
        <w:rPr>
          <w:b w:val="0"/>
        </w:rPr>
      </w:pPr>
    </w:p>
    <w:p w14:paraId="157D8309" w14:textId="31DE489C" w:rsidR="00D918C1" w:rsidRDefault="003616D5" w:rsidP="00754AAB">
      <w:pPr>
        <w:pStyle w:val="BodyText2"/>
        <w:spacing w:after="0" w:line="360" w:lineRule="auto"/>
        <w:jc w:val="both"/>
        <w:rPr>
          <w:b w:val="0"/>
        </w:rPr>
      </w:pPr>
      <w:r>
        <w:rPr>
          <w:b w:val="0"/>
        </w:rPr>
        <w:t>Budget 2024 included updates to the weather variables used in the short</w:t>
      </w:r>
      <w:r w:rsidR="00054EBE">
        <w:rPr>
          <w:b w:val="0"/>
        </w:rPr>
        <w:t>-</w:t>
      </w:r>
      <w:r>
        <w:rPr>
          <w:b w:val="0"/>
        </w:rPr>
        <w:t xml:space="preserve"> and long-term energy forecast models. The weighting of each </w:t>
      </w:r>
      <w:r w:rsidR="003745D8">
        <w:rPr>
          <w:b w:val="0"/>
        </w:rPr>
        <w:t xml:space="preserve">weather </w:t>
      </w:r>
      <w:r>
        <w:rPr>
          <w:b w:val="0"/>
        </w:rPr>
        <w:t>station</w:t>
      </w:r>
      <w:r w:rsidR="00A12ABF">
        <w:rPr>
          <w:b w:val="0"/>
        </w:rPr>
        <w:t xml:space="preserve"> and</w:t>
      </w:r>
      <w:r>
        <w:rPr>
          <w:b w:val="0"/>
        </w:rPr>
        <w:t xml:space="preserve"> the breakpoints used to calculate HDH and CDH were updated with </w:t>
      </w:r>
      <w:r w:rsidR="00605177">
        <w:rPr>
          <w:b w:val="0"/>
        </w:rPr>
        <w:t xml:space="preserve">the most </w:t>
      </w:r>
      <w:r>
        <w:rPr>
          <w:b w:val="0"/>
        </w:rPr>
        <w:t xml:space="preserve">recent historical data to </w:t>
      </w:r>
      <w:r w:rsidR="006047B2">
        <w:rPr>
          <w:b w:val="0"/>
        </w:rPr>
        <w:t xml:space="preserve">better </w:t>
      </w:r>
      <w:r>
        <w:rPr>
          <w:b w:val="0"/>
        </w:rPr>
        <w:t>capture changing customer trends.</w:t>
      </w:r>
    </w:p>
    <w:p w14:paraId="122DC8B6" w14:textId="77777777" w:rsidR="00865A2B" w:rsidRDefault="00865A2B" w:rsidP="00754AAB">
      <w:pPr>
        <w:pStyle w:val="BodyText2"/>
        <w:spacing w:after="0" w:line="360" w:lineRule="auto"/>
        <w:jc w:val="both"/>
        <w:rPr>
          <w:bCs/>
        </w:rPr>
      </w:pPr>
    </w:p>
    <w:p w14:paraId="5B05B6E0" w14:textId="1B3E5A79" w:rsidR="00CA5F44" w:rsidRDefault="00CA5F44" w:rsidP="001D2D93">
      <w:pPr>
        <w:pStyle w:val="BodyText2"/>
        <w:spacing w:line="360" w:lineRule="auto"/>
        <w:jc w:val="both"/>
        <w:rPr>
          <w:bCs/>
        </w:rPr>
      </w:pPr>
      <w:r>
        <w:rPr>
          <w:bCs/>
        </w:rPr>
        <w:t>Budget 2025</w:t>
      </w:r>
    </w:p>
    <w:p w14:paraId="1663EA2B" w14:textId="6F4B2401" w:rsidR="00F96186" w:rsidRDefault="0029534A" w:rsidP="00754AAB">
      <w:pPr>
        <w:pStyle w:val="BodyText2"/>
        <w:spacing w:after="0" w:line="360" w:lineRule="auto"/>
        <w:jc w:val="both"/>
        <w:rPr>
          <w:b w:val="0"/>
        </w:rPr>
      </w:pPr>
      <w:r>
        <w:rPr>
          <w:b w:val="0"/>
        </w:rPr>
        <w:t xml:space="preserve">There were </w:t>
      </w:r>
      <w:r w:rsidR="00F053D8">
        <w:rPr>
          <w:b w:val="0"/>
        </w:rPr>
        <w:t xml:space="preserve">some </w:t>
      </w:r>
      <w:r>
        <w:rPr>
          <w:b w:val="0"/>
        </w:rPr>
        <w:t xml:space="preserve">changes to the </w:t>
      </w:r>
      <w:r w:rsidR="00F053D8">
        <w:rPr>
          <w:b w:val="0"/>
        </w:rPr>
        <w:t xml:space="preserve">short-term </w:t>
      </w:r>
      <w:r>
        <w:rPr>
          <w:b w:val="0"/>
        </w:rPr>
        <w:t xml:space="preserve">forecast models </w:t>
      </w:r>
      <w:r w:rsidR="00F053D8">
        <w:rPr>
          <w:b w:val="0"/>
        </w:rPr>
        <w:t xml:space="preserve">in Budget 2025. First, </w:t>
      </w:r>
      <w:r w:rsidR="00024452">
        <w:rPr>
          <w:b w:val="0"/>
        </w:rPr>
        <w:t xml:space="preserve">a </w:t>
      </w:r>
      <w:r w:rsidR="006D1363">
        <w:rPr>
          <w:b w:val="0"/>
        </w:rPr>
        <w:t xml:space="preserve">price term was </w:t>
      </w:r>
      <w:r w:rsidR="00D63A1B">
        <w:rPr>
          <w:b w:val="0"/>
        </w:rPr>
        <w:t>statistically</w:t>
      </w:r>
      <w:r w:rsidR="006D1363">
        <w:rPr>
          <w:b w:val="0"/>
        </w:rPr>
        <w:t xml:space="preserve"> </w:t>
      </w:r>
      <w:r w:rsidR="00A55580">
        <w:rPr>
          <w:b w:val="0"/>
        </w:rPr>
        <w:t xml:space="preserve">significant </w:t>
      </w:r>
      <w:r w:rsidR="00694208">
        <w:rPr>
          <w:b w:val="0"/>
        </w:rPr>
        <w:t xml:space="preserve">and </w:t>
      </w:r>
      <w:r w:rsidR="006D1363">
        <w:rPr>
          <w:b w:val="0"/>
        </w:rPr>
        <w:t xml:space="preserve">included </w:t>
      </w:r>
      <w:r w:rsidR="00132CFD">
        <w:rPr>
          <w:b w:val="0"/>
        </w:rPr>
        <w:t>i</w:t>
      </w:r>
      <w:r w:rsidR="006D1363">
        <w:rPr>
          <w:b w:val="0"/>
        </w:rPr>
        <w:t xml:space="preserve">n </w:t>
      </w:r>
      <w:r w:rsidR="00B41CA0">
        <w:rPr>
          <w:b w:val="0"/>
        </w:rPr>
        <w:t xml:space="preserve">the </w:t>
      </w:r>
      <w:r w:rsidR="00132CFD">
        <w:rPr>
          <w:b w:val="0"/>
        </w:rPr>
        <w:t>r</w:t>
      </w:r>
      <w:r w:rsidR="00B41CA0">
        <w:rPr>
          <w:b w:val="0"/>
        </w:rPr>
        <w:t xml:space="preserve">esidential </w:t>
      </w:r>
      <w:r w:rsidR="006D1363">
        <w:rPr>
          <w:b w:val="0"/>
        </w:rPr>
        <w:t>use</w:t>
      </w:r>
      <w:r w:rsidR="00147111">
        <w:rPr>
          <w:b w:val="0"/>
        </w:rPr>
        <w:t>-</w:t>
      </w:r>
      <w:r w:rsidR="006D1363">
        <w:rPr>
          <w:b w:val="0"/>
        </w:rPr>
        <w:t>per</w:t>
      </w:r>
      <w:r w:rsidR="00147111">
        <w:rPr>
          <w:b w:val="0"/>
        </w:rPr>
        <w:t>-</w:t>
      </w:r>
      <w:r w:rsidR="006D1363">
        <w:rPr>
          <w:b w:val="0"/>
        </w:rPr>
        <w:t>customer model</w:t>
      </w:r>
      <w:r w:rsidR="008647DF">
        <w:rPr>
          <w:b w:val="0"/>
        </w:rPr>
        <w:t xml:space="preserve"> for the first time in several years.</w:t>
      </w:r>
      <w:r w:rsidR="00694208">
        <w:rPr>
          <w:b w:val="0"/>
        </w:rPr>
        <w:t xml:space="preserve"> </w:t>
      </w:r>
      <w:r w:rsidR="00024452">
        <w:rPr>
          <w:b w:val="0"/>
        </w:rPr>
        <w:t>P</w:t>
      </w:r>
      <w:r w:rsidR="00DB75C3">
        <w:rPr>
          <w:b w:val="0"/>
        </w:rPr>
        <w:t>rice</w:t>
      </w:r>
      <w:r w:rsidR="00024452">
        <w:rPr>
          <w:b w:val="0"/>
        </w:rPr>
        <w:t xml:space="preserve"> remains insignificant in </w:t>
      </w:r>
      <w:r w:rsidR="00C0067D">
        <w:rPr>
          <w:b w:val="0"/>
        </w:rPr>
        <w:t xml:space="preserve">the </w:t>
      </w:r>
      <w:r w:rsidR="006C72F4">
        <w:rPr>
          <w:b w:val="0"/>
        </w:rPr>
        <w:t xml:space="preserve">short-term </w:t>
      </w:r>
      <w:r w:rsidR="00C0067D">
        <w:rPr>
          <w:b w:val="0"/>
        </w:rPr>
        <w:t xml:space="preserve">commercial and industrial models. </w:t>
      </w:r>
      <w:r w:rsidR="003F170A">
        <w:rPr>
          <w:b w:val="0"/>
        </w:rPr>
        <w:t xml:space="preserve">The commercial </w:t>
      </w:r>
      <w:r w:rsidR="00147111">
        <w:rPr>
          <w:b w:val="0"/>
        </w:rPr>
        <w:t xml:space="preserve">use-per-customer </w:t>
      </w:r>
      <w:r w:rsidR="003F170A">
        <w:rPr>
          <w:b w:val="0"/>
        </w:rPr>
        <w:t>model</w:t>
      </w:r>
      <w:r w:rsidR="00147111">
        <w:rPr>
          <w:b w:val="0"/>
        </w:rPr>
        <w:t xml:space="preserve"> also </w:t>
      </w:r>
      <w:r w:rsidR="003F170A">
        <w:rPr>
          <w:b w:val="0"/>
        </w:rPr>
        <w:t xml:space="preserve">changed </w:t>
      </w:r>
      <w:r w:rsidR="004D0672">
        <w:rPr>
          <w:b w:val="0"/>
        </w:rPr>
        <w:t>in Budget 2025</w:t>
      </w:r>
      <w:r w:rsidR="00F96186">
        <w:rPr>
          <w:b w:val="0"/>
        </w:rPr>
        <w:t>,</w:t>
      </w:r>
      <w:r w:rsidR="004D0672">
        <w:rPr>
          <w:b w:val="0"/>
        </w:rPr>
        <w:t xml:space="preserve"> </w:t>
      </w:r>
      <w:r w:rsidR="00FB68CD">
        <w:rPr>
          <w:b w:val="0"/>
        </w:rPr>
        <w:t>the efficiency variable used in previous years is no longer significant</w:t>
      </w:r>
      <w:r w:rsidR="005D2CCF">
        <w:rPr>
          <w:b w:val="0"/>
        </w:rPr>
        <w:t xml:space="preserve">. The new driver of the model is the </w:t>
      </w:r>
      <w:r w:rsidR="00BA3C36">
        <w:rPr>
          <w:b w:val="0"/>
        </w:rPr>
        <w:t xml:space="preserve">real (i.e. inflation adjusted) </w:t>
      </w:r>
      <w:r w:rsidR="005D2CCF">
        <w:rPr>
          <w:b w:val="0"/>
        </w:rPr>
        <w:t>value</w:t>
      </w:r>
      <w:r w:rsidR="00BA3C36">
        <w:rPr>
          <w:b w:val="0"/>
        </w:rPr>
        <w:t xml:space="preserve"> of Georgia’s GSP attributable to </w:t>
      </w:r>
      <w:r w:rsidR="001B17D2">
        <w:rPr>
          <w:b w:val="0"/>
        </w:rPr>
        <w:t xml:space="preserve">the Commercial sector. </w:t>
      </w:r>
      <w:r w:rsidR="005D2CCF">
        <w:rPr>
          <w:b w:val="0"/>
        </w:rPr>
        <w:t xml:space="preserve"> </w:t>
      </w:r>
      <w:r w:rsidR="00F96186">
        <w:rPr>
          <w:b w:val="0"/>
        </w:rPr>
        <w:t xml:space="preserve"> </w:t>
      </w:r>
    </w:p>
    <w:p w14:paraId="441EF9BB" w14:textId="77777777" w:rsidR="00F96186" w:rsidRDefault="00F96186" w:rsidP="00754AAB">
      <w:pPr>
        <w:pStyle w:val="BodyText2"/>
        <w:spacing w:after="0" w:line="360" w:lineRule="auto"/>
        <w:jc w:val="both"/>
        <w:rPr>
          <w:b w:val="0"/>
        </w:rPr>
      </w:pPr>
    </w:p>
    <w:p w14:paraId="318D1740" w14:textId="71D706BA" w:rsidR="00A40E5E" w:rsidRPr="00500FA1" w:rsidRDefault="004056A0" w:rsidP="00500FA1">
      <w:pPr>
        <w:pStyle w:val="Heading1"/>
        <w:jc w:val="left"/>
        <w:rPr>
          <w:rFonts w:ascii="Arial" w:hAnsi="Arial" w:cs="Arial"/>
          <w:b/>
          <w:color w:val="auto"/>
        </w:rPr>
      </w:pPr>
      <w:bookmarkStart w:id="591" w:name="_Toc347120489"/>
      <w:bookmarkStart w:id="592" w:name="_Toc188257190"/>
      <w:bookmarkStart w:id="593" w:name="_Toc188257405"/>
      <w:bookmarkStart w:id="594" w:name="_Toc188257629"/>
      <w:bookmarkStart w:id="595" w:name="_Toc189162639"/>
      <w:bookmarkEnd w:id="589"/>
      <w:r>
        <w:rPr>
          <w:rFonts w:ascii="Arial" w:hAnsi="Arial" w:cs="Arial"/>
          <w:b/>
          <w:bCs w:val="0"/>
          <w:color w:val="auto"/>
        </w:rPr>
        <w:t>10</w:t>
      </w:r>
      <w:r w:rsidR="00A40E5E" w:rsidRPr="00500FA1">
        <w:rPr>
          <w:rFonts w:ascii="Arial" w:hAnsi="Arial" w:cs="Arial"/>
          <w:b/>
          <w:bCs w:val="0"/>
          <w:color w:val="auto"/>
        </w:rPr>
        <w:t>.5</w:t>
      </w:r>
      <w:r w:rsidR="00A40E5E" w:rsidRPr="00500FA1">
        <w:rPr>
          <w:rFonts w:ascii="Arial" w:hAnsi="Arial" w:cs="Arial"/>
          <w:b/>
          <w:bCs w:val="0"/>
          <w:color w:val="auto"/>
        </w:rPr>
        <w:tab/>
        <w:t>ENERGY RESEARCH PLAN</w:t>
      </w:r>
      <w:bookmarkEnd w:id="591"/>
      <w:bookmarkEnd w:id="592"/>
      <w:bookmarkEnd w:id="593"/>
      <w:bookmarkEnd w:id="594"/>
      <w:bookmarkEnd w:id="595"/>
    </w:p>
    <w:p w14:paraId="0CC1D2FC" w14:textId="77777777" w:rsidR="00500FA1" w:rsidRDefault="00500FA1" w:rsidP="00262E1C">
      <w:pPr>
        <w:pStyle w:val="BodyText"/>
        <w:jc w:val="both"/>
      </w:pPr>
    </w:p>
    <w:p w14:paraId="02C7D422" w14:textId="4CA0B324" w:rsidR="00A40E5E" w:rsidRPr="00500FA1" w:rsidRDefault="00F144E4" w:rsidP="00754AAB">
      <w:pPr>
        <w:pStyle w:val="BodyText"/>
        <w:spacing w:after="0" w:line="360" w:lineRule="auto"/>
        <w:jc w:val="both"/>
        <w:rPr>
          <w:b w:val="0"/>
        </w:rPr>
      </w:pPr>
      <w:r w:rsidRPr="00500FA1">
        <w:rPr>
          <w:b w:val="0"/>
        </w:rPr>
        <w:t>Th</w:t>
      </w:r>
      <w:r>
        <w:rPr>
          <w:b w:val="0"/>
        </w:rPr>
        <w:t xml:space="preserve">e following sections contain a description of </w:t>
      </w:r>
      <w:r w:rsidR="00A40E5E" w:rsidRPr="00500FA1">
        <w:rPr>
          <w:b w:val="0"/>
        </w:rPr>
        <w:t xml:space="preserve">Georgia Power’s Energy Research Plan </w:t>
      </w:r>
      <w:r>
        <w:rPr>
          <w:b w:val="0"/>
        </w:rPr>
        <w:t xml:space="preserve">for </w:t>
      </w:r>
      <w:r w:rsidR="0001379A" w:rsidRPr="00500FA1">
        <w:rPr>
          <w:b w:val="0"/>
        </w:rPr>
        <w:t>20</w:t>
      </w:r>
      <w:r w:rsidR="0001379A">
        <w:rPr>
          <w:b w:val="0"/>
        </w:rPr>
        <w:t>25</w:t>
      </w:r>
      <w:r w:rsidR="00A40E5E" w:rsidRPr="00500FA1">
        <w:rPr>
          <w:b w:val="0"/>
        </w:rPr>
        <w:t>-</w:t>
      </w:r>
      <w:r w:rsidR="0001379A" w:rsidRPr="00500FA1">
        <w:rPr>
          <w:b w:val="0"/>
        </w:rPr>
        <w:t>20</w:t>
      </w:r>
      <w:r w:rsidR="0001379A">
        <w:rPr>
          <w:b w:val="0"/>
        </w:rPr>
        <w:t>28</w:t>
      </w:r>
      <w:r w:rsidR="00A40E5E" w:rsidRPr="00500FA1">
        <w:rPr>
          <w:b w:val="0"/>
        </w:rPr>
        <w:t>.</w:t>
      </w:r>
      <w:r>
        <w:rPr>
          <w:b w:val="0"/>
        </w:rPr>
        <w:t xml:space="preserve"> This plan will allow Georgia Power to meet the </w:t>
      </w:r>
      <w:r w:rsidR="003E3E85">
        <w:rPr>
          <w:b w:val="0"/>
        </w:rPr>
        <w:t xml:space="preserve">Commission’s </w:t>
      </w:r>
      <w:r>
        <w:rPr>
          <w:b w:val="0"/>
        </w:rPr>
        <w:t xml:space="preserve">requirements, including required filing of information, development of forecasts, and evaluation of demand and supply side resources. </w:t>
      </w:r>
    </w:p>
    <w:p w14:paraId="4721D3E0" w14:textId="77777777" w:rsidR="00A40E5E" w:rsidRPr="00500FA1" w:rsidRDefault="00A40E5E" w:rsidP="00754AAB">
      <w:pPr>
        <w:pStyle w:val="BodyText"/>
        <w:spacing w:after="0" w:line="360" w:lineRule="auto"/>
        <w:jc w:val="left"/>
        <w:rPr>
          <w:b w:val="0"/>
        </w:rPr>
      </w:pPr>
    </w:p>
    <w:p w14:paraId="77CA02B4" w14:textId="20522778" w:rsidR="00A40E5E" w:rsidRPr="00500FA1" w:rsidRDefault="00D42444" w:rsidP="00754AAB">
      <w:pPr>
        <w:pStyle w:val="Heading2"/>
        <w:spacing w:before="0" w:line="360" w:lineRule="auto"/>
        <w:jc w:val="left"/>
        <w:rPr>
          <w:rFonts w:ascii="Arial" w:hAnsi="Arial" w:cs="Arial"/>
          <w:b/>
          <w:color w:val="auto"/>
          <w:sz w:val="20"/>
          <w:szCs w:val="20"/>
        </w:rPr>
      </w:pPr>
      <w:bookmarkStart w:id="596" w:name="_Toc347120491"/>
      <w:bookmarkStart w:id="597" w:name="_Toc188257191"/>
      <w:bookmarkStart w:id="598" w:name="_Toc188257406"/>
      <w:bookmarkStart w:id="599" w:name="_Toc188257630"/>
      <w:bookmarkStart w:id="600" w:name="_Toc189162640"/>
      <w:r>
        <w:rPr>
          <w:rFonts w:ascii="Arial" w:hAnsi="Arial" w:cs="Arial"/>
          <w:b/>
          <w:color w:val="auto"/>
          <w:sz w:val="20"/>
          <w:szCs w:val="20"/>
        </w:rPr>
        <w:t>10</w:t>
      </w:r>
      <w:r w:rsidR="00A40E5E" w:rsidRPr="00500FA1">
        <w:rPr>
          <w:rFonts w:ascii="Arial" w:hAnsi="Arial" w:cs="Arial"/>
          <w:b/>
          <w:color w:val="auto"/>
          <w:sz w:val="20"/>
          <w:szCs w:val="20"/>
        </w:rPr>
        <w:t>.5.</w:t>
      </w:r>
      <w:r w:rsidR="007E103D">
        <w:rPr>
          <w:rFonts w:ascii="Arial" w:hAnsi="Arial" w:cs="Arial"/>
          <w:b/>
          <w:color w:val="auto"/>
          <w:sz w:val="20"/>
          <w:szCs w:val="20"/>
        </w:rPr>
        <w:t>1</w:t>
      </w:r>
      <w:r w:rsidR="00A40E5E" w:rsidRPr="00500FA1">
        <w:rPr>
          <w:rFonts w:ascii="Arial" w:hAnsi="Arial" w:cs="Arial"/>
          <w:b/>
          <w:color w:val="auto"/>
          <w:sz w:val="20"/>
          <w:szCs w:val="20"/>
        </w:rPr>
        <w:tab/>
        <w:t>Introduction</w:t>
      </w:r>
      <w:bookmarkEnd w:id="596"/>
      <w:bookmarkEnd w:id="597"/>
      <w:bookmarkEnd w:id="598"/>
      <w:bookmarkEnd w:id="599"/>
      <w:bookmarkEnd w:id="600"/>
    </w:p>
    <w:p w14:paraId="1BD6AB6E" w14:textId="77777777" w:rsidR="00500FA1" w:rsidRDefault="00500FA1" w:rsidP="008327EE">
      <w:pPr>
        <w:pStyle w:val="BodyText"/>
        <w:spacing w:after="0"/>
      </w:pPr>
    </w:p>
    <w:p w14:paraId="157B4E24" w14:textId="3BB36AD1" w:rsidR="00A40E5E" w:rsidRPr="00500FA1" w:rsidRDefault="00A40E5E" w:rsidP="00754AAB">
      <w:pPr>
        <w:pStyle w:val="BodyText"/>
        <w:spacing w:after="0" w:line="360" w:lineRule="auto"/>
        <w:jc w:val="both"/>
        <w:rPr>
          <w:b w:val="0"/>
        </w:rPr>
      </w:pPr>
      <w:r w:rsidRPr="00500FA1">
        <w:rPr>
          <w:b w:val="0"/>
        </w:rPr>
        <w:t xml:space="preserve">In compliance with </w:t>
      </w:r>
      <w:r w:rsidR="007E103D">
        <w:rPr>
          <w:b w:val="0"/>
        </w:rPr>
        <w:t xml:space="preserve">the </w:t>
      </w:r>
      <w:r w:rsidRPr="00500FA1">
        <w:rPr>
          <w:b w:val="0"/>
        </w:rPr>
        <w:t>Commission</w:t>
      </w:r>
      <w:r w:rsidR="007E103D">
        <w:rPr>
          <w:b w:val="0"/>
        </w:rPr>
        <w:t>’s</w:t>
      </w:r>
      <w:r w:rsidRPr="00500FA1">
        <w:rPr>
          <w:b w:val="0"/>
        </w:rPr>
        <w:t xml:space="preserve"> </w:t>
      </w:r>
      <w:r w:rsidR="007E103D">
        <w:rPr>
          <w:b w:val="0"/>
        </w:rPr>
        <w:t>rules</w:t>
      </w:r>
      <w:r w:rsidRPr="00500FA1">
        <w:rPr>
          <w:b w:val="0"/>
        </w:rPr>
        <w:t xml:space="preserve">, Georgia Power submits its four-year Research Plan, </w:t>
      </w:r>
      <w:r w:rsidR="0001379A" w:rsidRPr="00500FA1">
        <w:rPr>
          <w:b w:val="0"/>
        </w:rPr>
        <w:t>20</w:t>
      </w:r>
      <w:r w:rsidR="0001379A">
        <w:rPr>
          <w:b w:val="0"/>
        </w:rPr>
        <w:t>25</w:t>
      </w:r>
      <w:r w:rsidRPr="00500FA1">
        <w:rPr>
          <w:b w:val="0"/>
        </w:rPr>
        <w:t>-</w:t>
      </w:r>
      <w:r w:rsidR="0001379A" w:rsidRPr="00500FA1">
        <w:rPr>
          <w:b w:val="0"/>
        </w:rPr>
        <w:t>20</w:t>
      </w:r>
      <w:r w:rsidR="0001379A">
        <w:rPr>
          <w:b w:val="0"/>
        </w:rPr>
        <w:t>28</w:t>
      </w:r>
      <w:r w:rsidRPr="00500FA1">
        <w:rPr>
          <w:b w:val="0"/>
        </w:rPr>
        <w:t>. This plan contains three major sections:</w:t>
      </w:r>
    </w:p>
    <w:p w14:paraId="367170E1" w14:textId="44B91118" w:rsidR="00A40E5E" w:rsidRPr="00500FA1" w:rsidRDefault="00A40E5E" w:rsidP="00DF7BAF">
      <w:pPr>
        <w:spacing w:line="360" w:lineRule="auto"/>
        <w:jc w:val="left"/>
        <w:rPr>
          <w:b w:val="0"/>
        </w:rPr>
      </w:pPr>
    </w:p>
    <w:p w14:paraId="39042B40" w14:textId="0AD19AD8" w:rsidR="00A40E5E" w:rsidRPr="00500FA1" w:rsidRDefault="00A40E5E" w:rsidP="00DF7BAF">
      <w:pPr>
        <w:spacing w:line="360" w:lineRule="auto"/>
        <w:ind w:left="720"/>
        <w:jc w:val="left"/>
        <w:rPr>
          <w:b w:val="0"/>
        </w:rPr>
      </w:pPr>
      <w:r w:rsidRPr="00500FA1">
        <w:rPr>
          <w:b w:val="0"/>
        </w:rPr>
        <w:t xml:space="preserve">1. </w:t>
      </w:r>
      <w:r w:rsidRPr="00500FA1">
        <w:rPr>
          <w:b w:val="0"/>
        </w:rPr>
        <w:tab/>
        <w:t>Survey Research</w:t>
      </w:r>
    </w:p>
    <w:p w14:paraId="6FFC02F9" w14:textId="262E01C6" w:rsidR="00A40E5E" w:rsidRPr="00500FA1" w:rsidRDefault="00A40E5E" w:rsidP="00DF7BAF">
      <w:pPr>
        <w:spacing w:line="360" w:lineRule="auto"/>
        <w:ind w:left="720"/>
        <w:jc w:val="left"/>
        <w:rPr>
          <w:b w:val="0"/>
        </w:rPr>
      </w:pPr>
      <w:r w:rsidRPr="00500FA1">
        <w:rPr>
          <w:b w:val="0"/>
        </w:rPr>
        <w:t>2.</w:t>
      </w:r>
      <w:r w:rsidRPr="00500FA1">
        <w:rPr>
          <w:b w:val="0"/>
        </w:rPr>
        <w:tab/>
        <w:t>Load Research</w:t>
      </w:r>
    </w:p>
    <w:p w14:paraId="320B0AA9" w14:textId="4E06D056" w:rsidR="00A40E5E" w:rsidRPr="00500FA1" w:rsidRDefault="00A40E5E" w:rsidP="00DF7BAF">
      <w:pPr>
        <w:spacing w:line="360" w:lineRule="auto"/>
        <w:ind w:left="720"/>
        <w:jc w:val="left"/>
        <w:rPr>
          <w:b w:val="0"/>
        </w:rPr>
      </w:pPr>
      <w:r w:rsidRPr="00500FA1">
        <w:rPr>
          <w:b w:val="0"/>
        </w:rPr>
        <w:t>3.</w:t>
      </w:r>
      <w:r w:rsidRPr="00500FA1">
        <w:rPr>
          <w:b w:val="0"/>
        </w:rPr>
        <w:tab/>
        <w:t>Analysis</w:t>
      </w:r>
      <w:r w:rsidRPr="00500FA1">
        <w:rPr>
          <w:b w:val="0"/>
        </w:rPr>
        <w:tab/>
      </w:r>
    </w:p>
    <w:p w14:paraId="6CA4C724" w14:textId="7673510D" w:rsidR="00A40E5E" w:rsidRPr="00500FA1" w:rsidRDefault="00A40E5E" w:rsidP="00500FA1">
      <w:pPr>
        <w:spacing w:line="360" w:lineRule="auto"/>
        <w:jc w:val="left"/>
        <w:rPr>
          <w:b w:val="0"/>
        </w:rPr>
      </w:pPr>
    </w:p>
    <w:p w14:paraId="41775A06" w14:textId="68592EA8" w:rsidR="008878BC" w:rsidRDefault="00A40E5E" w:rsidP="00452737">
      <w:pPr>
        <w:spacing w:after="200" w:line="360" w:lineRule="auto"/>
        <w:jc w:val="both"/>
        <w:rPr>
          <w:b w:val="0"/>
        </w:rPr>
      </w:pPr>
      <w:r w:rsidRPr="00500FA1">
        <w:rPr>
          <w:b w:val="0"/>
        </w:rPr>
        <w:t xml:space="preserve">The research program addresses specific requirements of the </w:t>
      </w:r>
      <w:r w:rsidR="00A75934">
        <w:rPr>
          <w:b w:val="0"/>
        </w:rPr>
        <w:t xml:space="preserve">Commission </w:t>
      </w:r>
      <w:r w:rsidRPr="00500FA1">
        <w:rPr>
          <w:b w:val="0"/>
        </w:rPr>
        <w:t xml:space="preserve">rules. It includes only that research which is designed to meet specific filing requirements or </w:t>
      </w:r>
      <w:r w:rsidR="000F291D">
        <w:rPr>
          <w:b w:val="0"/>
        </w:rPr>
        <w:t xml:space="preserve">is </w:t>
      </w:r>
      <w:r w:rsidRPr="00500FA1">
        <w:rPr>
          <w:b w:val="0"/>
        </w:rPr>
        <w:t xml:space="preserve">associated with meeting data requirements to support the filing of an integrated resource plan. Research programs associated with evaluation plans for demand side program certification are contained in the respective program filing. Table </w:t>
      </w:r>
      <w:r w:rsidR="00FE5AA2">
        <w:rPr>
          <w:b w:val="0"/>
        </w:rPr>
        <w:t>10</w:t>
      </w:r>
      <w:r w:rsidRPr="00500FA1">
        <w:rPr>
          <w:b w:val="0"/>
        </w:rPr>
        <w:t>.5.</w:t>
      </w:r>
      <w:r w:rsidR="00A75934">
        <w:rPr>
          <w:b w:val="0"/>
        </w:rPr>
        <w:t>1</w:t>
      </w:r>
      <w:r w:rsidRPr="00500FA1">
        <w:rPr>
          <w:b w:val="0"/>
        </w:rPr>
        <w:t>-1 summarizes the specific sections of the rules, and the proposed research program.</w:t>
      </w:r>
      <w:bookmarkStart w:id="601" w:name="_Toc347120492"/>
    </w:p>
    <w:p w14:paraId="2DF1F69C" w14:textId="77777777" w:rsidR="00FE5AA2" w:rsidRDefault="00FE5AA2" w:rsidP="0001379A">
      <w:pPr>
        <w:spacing w:line="276" w:lineRule="auto"/>
        <w:jc w:val="left"/>
      </w:pPr>
    </w:p>
    <w:p w14:paraId="58749A9C" w14:textId="42756D61" w:rsidR="00A40E5E" w:rsidRDefault="00A40E5E" w:rsidP="00636F0A">
      <w:pPr>
        <w:spacing w:after="200" w:line="276" w:lineRule="auto"/>
        <w:jc w:val="left"/>
      </w:pPr>
      <w:r w:rsidRPr="00500FA1">
        <w:t xml:space="preserve">Table </w:t>
      </w:r>
      <w:r w:rsidR="00D42444">
        <w:t>10</w:t>
      </w:r>
      <w:r w:rsidRPr="00500FA1">
        <w:t>.5.</w:t>
      </w:r>
      <w:r w:rsidR="007E103D">
        <w:t>1</w:t>
      </w:r>
      <w:r w:rsidRPr="00500FA1">
        <w:t xml:space="preserve">-1: Research Requirements for Complying with </w:t>
      </w:r>
      <w:r w:rsidR="00A75934">
        <w:t>Commission</w:t>
      </w:r>
      <w:r w:rsidRPr="00500FA1">
        <w:t xml:space="preserve"> Rules 515-3-4</w:t>
      </w:r>
      <w:bookmarkEnd w:id="601"/>
    </w:p>
    <w:p w14:paraId="0C5C4624" w14:textId="77777777" w:rsidR="00500FA1" w:rsidRPr="00500FA1" w:rsidRDefault="00500FA1" w:rsidP="00500FA1">
      <w:pPr>
        <w:jc w:val="left"/>
      </w:pPr>
    </w:p>
    <w:tbl>
      <w:tblPr>
        <w:tblW w:w="0" w:type="auto"/>
        <w:tblLayout w:type="fixed"/>
        <w:tblLook w:val="0000" w:firstRow="0" w:lastRow="0" w:firstColumn="0" w:lastColumn="0" w:noHBand="0" w:noVBand="0"/>
      </w:tblPr>
      <w:tblGrid>
        <w:gridCol w:w="2880"/>
        <w:gridCol w:w="2880"/>
        <w:gridCol w:w="2880"/>
      </w:tblGrid>
      <w:tr w:rsidR="00A40E5E" w:rsidRPr="00500FA1" w14:paraId="423D12D8" w14:textId="77777777" w:rsidTr="00966D80">
        <w:trPr>
          <w:cantSplit/>
        </w:trPr>
        <w:tc>
          <w:tcPr>
            <w:tcW w:w="2880" w:type="dxa"/>
            <w:tcBorders>
              <w:top w:val="double" w:sz="6" w:space="0" w:color="auto"/>
              <w:left w:val="double" w:sz="6" w:space="0" w:color="auto"/>
              <w:bottom w:val="single" w:sz="6" w:space="0" w:color="auto"/>
              <w:right w:val="single" w:sz="6" w:space="0" w:color="auto"/>
            </w:tcBorders>
          </w:tcPr>
          <w:p w14:paraId="4AFB8308" w14:textId="77777777" w:rsidR="00A40E5E" w:rsidRPr="00500FA1" w:rsidRDefault="00A40E5E" w:rsidP="00500FA1">
            <w:pPr>
              <w:spacing w:line="276" w:lineRule="auto"/>
              <w:jc w:val="left"/>
              <w:rPr>
                <w:b w:val="0"/>
              </w:rPr>
            </w:pPr>
            <w:r w:rsidRPr="00500FA1">
              <w:rPr>
                <w:b w:val="0"/>
              </w:rPr>
              <w:t>Section</w:t>
            </w:r>
          </w:p>
        </w:tc>
        <w:tc>
          <w:tcPr>
            <w:tcW w:w="2880" w:type="dxa"/>
            <w:tcBorders>
              <w:top w:val="double" w:sz="6" w:space="0" w:color="auto"/>
              <w:left w:val="single" w:sz="6" w:space="0" w:color="auto"/>
              <w:bottom w:val="single" w:sz="6" w:space="0" w:color="auto"/>
              <w:right w:val="single" w:sz="6" w:space="0" w:color="auto"/>
            </w:tcBorders>
          </w:tcPr>
          <w:p w14:paraId="2DDEAD56" w14:textId="77777777" w:rsidR="00A40E5E" w:rsidRPr="00500FA1" w:rsidRDefault="00A40E5E" w:rsidP="00500FA1">
            <w:pPr>
              <w:spacing w:line="276" w:lineRule="auto"/>
              <w:jc w:val="left"/>
              <w:rPr>
                <w:b w:val="0"/>
              </w:rPr>
            </w:pPr>
            <w:r w:rsidRPr="00500FA1">
              <w:rPr>
                <w:b w:val="0"/>
              </w:rPr>
              <w:t>Requirement</w:t>
            </w:r>
          </w:p>
        </w:tc>
        <w:tc>
          <w:tcPr>
            <w:tcW w:w="2880" w:type="dxa"/>
            <w:tcBorders>
              <w:top w:val="double" w:sz="6" w:space="0" w:color="auto"/>
              <w:left w:val="single" w:sz="6" w:space="0" w:color="auto"/>
              <w:bottom w:val="single" w:sz="6" w:space="0" w:color="auto"/>
              <w:right w:val="double" w:sz="6" w:space="0" w:color="auto"/>
            </w:tcBorders>
          </w:tcPr>
          <w:p w14:paraId="52AC9781" w14:textId="77777777" w:rsidR="00A40E5E" w:rsidRPr="00500FA1" w:rsidRDefault="00A40E5E" w:rsidP="00500FA1">
            <w:pPr>
              <w:spacing w:line="276" w:lineRule="auto"/>
              <w:jc w:val="left"/>
              <w:rPr>
                <w:b w:val="0"/>
              </w:rPr>
            </w:pPr>
            <w:r w:rsidRPr="00500FA1">
              <w:rPr>
                <w:b w:val="0"/>
              </w:rPr>
              <w:t>Research Program</w:t>
            </w:r>
          </w:p>
        </w:tc>
      </w:tr>
      <w:tr w:rsidR="00A40E5E" w:rsidRPr="00500FA1" w14:paraId="5012033B" w14:textId="77777777" w:rsidTr="00966D80">
        <w:trPr>
          <w:cantSplit/>
        </w:trPr>
        <w:tc>
          <w:tcPr>
            <w:tcW w:w="2880" w:type="dxa"/>
            <w:tcBorders>
              <w:top w:val="single" w:sz="6" w:space="0" w:color="auto"/>
              <w:left w:val="double" w:sz="6" w:space="0" w:color="auto"/>
              <w:bottom w:val="single" w:sz="6" w:space="0" w:color="auto"/>
              <w:right w:val="single" w:sz="6" w:space="0" w:color="auto"/>
            </w:tcBorders>
          </w:tcPr>
          <w:p w14:paraId="3C08C049" w14:textId="77777777" w:rsidR="00A40E5E" w:rsidRPr="00500FA1" w:rsidRDefault="00A40E5E" w:rsidP="00500FA1">
            <w:pPr>
              <w:spacing w:line="276" w:lineRule="auto"/>
              <w:jc w:val="left"/>
              <w:rPr>
                <w:b w:val="0"/>
              </w:rPr>
            </w:pPr>
            <w:r w:rsidRPr="00500FA1">
              <w:rPr>
                <w:b w:val="0"/>
              </w:rPr>
              <w:t>515-3-4.03 (1) - (2) (b)</w:t>
            </w:r>
          </w:p>
          <w:p w14:paraId="36C585DD" w14:textId="77777777" w:rsidR="00A40E5E" w:rsidRPr="00500FA1" w:rsidRDefault="00A40E5E" w:rsidP="00500FA1">
            <w:pPr>
              <w:spacing w:line="276" w:lineRule="auto"/>
              <w:jc w:val="left"/>
              <w:rPr>
                <w:b w:val="0"/>
              </w:rPr>
            </w:pPr>
            <w:r w:rsidRPr="00500FA1">
              <w:rPr>
                <w:b w:val="0"/>
              </w:rPr>
              <w:t>Energy and demand forecasting requirements</w:t>
            </w:r>
          </w:p>
        </w:tc>
        <w:tc>
          <w:tcPr>
            <w:tcW w:w="2880" w:type="dxa"/>
            <w:tcBorders>
              <w:top w:val="single" w:sz="6" w:space="0" w:color="auto"/>
              <w:left w:val="single" w:sz="6" w:space="0" w:color="auto"/>
              <w:bottom w:val="single" w:sz="6" w:space="0" w:color="auto"/>
              <w:right w:val="single" w:sz="6" w:space="0" w:color="auto"/>
            </w:tcBorders>
          </w:tcPr>
          <w:p w14:paraId="52AD44DA" w14:textId="77777777" w:rsidR="00A40E5E" w:rsidRPr="00500FA1" w:rsidRDefault="00A40E5E" w:rsidP="00500FA1">
            <w:pPr>
              <w:spacing w:line="276" w:lineRule="auto"/>
              <w:jc w:val="left"/>
              <w:rPr>
                <w:b w:val="0"/>
              </w:rPr>
            </w:pPr>
            <w:r w:rsidRPr="00500FA1">
              <w:rPr>
                <w:b w:val="0"/>
              </w:rPr>
              <w:t>Historical peak demands, load factors, energy consumption by class.</w:t>
            </w:r>
          </w:p>
        </w:tc>
        <w:tc>
          <w:tcPr>
            <w:tcW w:w="2880" w:type="dxa"/>
            <w:tcBorders>
              <w:top w:val="single" w:sz="6" w:space="0" w:color="auto"/>
              <w:left w:val="single" w:sz="6" w:space="0" w:color="auto"/>
              <w:bottom w:val="single" w:sz="6" w:space="0" w:color="auto"/>
              <w:right w:val="double" w:sz="6" w:space="0" w:color="auto"/>
            </w:tcBorders>
          </w:tcPr>
          <w:p w14:paraId="5C3749AB" w14:textId="77777777" w:rsidR="00A40E5E" w:rsidRPr="00500FA1" w:rsidRDefault="00A40E5E" w:rsidP="00500FA1">
            <w:pPr>
              <w:spacing w:line="276" w:lineRule="auto"/>
              <w:jc w:val="left"/>
              <w:rPr>
                <w:b w:val="0"/>
              </w:rPr>
            </w:pPr>
            <w:r w:rsidRPr="00500FA1">
              <w:rPr>
                <w:b w:val="0"/>
              </w:rPr>
              <w:t>Perform a continuous class load research study.</w:t>
            </w:r>
          </w:p>
        </w:tc>
      </w:tr>
      <w:tr w:rsidR="00A40E5E" w:rsidRPr="00500FA1" w14:paraId="153A8C6B" w14:textId="77777777" w:rsidTr="00966D80">
        <w:trPr>
          <w:cantSplit/>
        </w:trPr>
        <w:tc>
          <w:tcPr>
            <w:tcW w:w="2880" w:type="dxa"/>
            <w:tcBorders>
              <w:top w:val="single" w:sz="6" w:space="0" w:color="auto"/>
              <w:left w:val="double" w:sz="6" w:space="0" w:color="auto"/>
              <w:right w:val="single" w:sz="6" w:space="0" w:color="auto"/>
            </w:tcBorders>
          </w:tcPr>
          <w:p w14:paraId="5E12CDAA" w14:textId="77777777" w:rsidR="00A40E5E" w:rsidRPr="00500FA1" w:rsidRDefault="00A40E5E" w:rsidP="00500FA1">
            <w:pPr>
              <w:spacing w:line="276" w:lineRule="auto"/>
              <w:jc w:val="left"/>
              <w:rPr>
                <w:b w:val="0"/>
              </w:rPr>
            </w:pPr>
            <w:r w:rsidRPr="00500FA1">
              <w:rPr>
                <w:b w:val="0"/>
              </w:rPr>
              <w:t xml:space="preserve">515-3-4-.03 (3) (a) </w:t>
            </w:r>
          </w:p>
          <w:p w14:paraId="1268EDCB" w14:textId="77777777" w:rsidR="00A40E5E" w:rsidRPr="00290AEC" w:rsidRDefault="00A40E5E" w:rsidP="00500FA1">
            <w:pPr>
              <w:pStyle w:val="FootnoteText"/>
              <w:spacing w:line="276" w:lineRule="auto"/>
              <w:jc w:val="left"/>
              <w:rPr>
                <w:rFonts w:ascii="Arial" w:hAnsi="Arial"/>
              </w:rPr>
            </w:pPr>
            <w:r w:rsidRPr="00290AEC">
              <w:rPr>
                <w:rFonts w:ascii="Arial" w:hAnsi="Arial"/>
              </w:rPr>
              <w:t>Forecast methodology</w:t>
            </w:r>
          </w:p>
        </w:tc>
        <w:tc>
          <w:tcPr>
            <w:tcW w:w="2880" w:type="dxa"/>
            <w:tcBorders>
              <w:top w:val="single" w:sz="6" w:space="0" w:color="auto"/>
              <w:left w:val="single" w:sz="6" w:space="0" w:color="auto"/>
              <w:right w:val="single" w:sz="6" w:space="0" w:color="auto"/>
            </w:tcBorders>
          </w:tcPr>
          <w:p w14:paraId="5E7741F6" w14:textId="77777777" w:rsidR="00A40E5E" w:rsidRPr="00500FA1" w:rsidRDefault="00A40E5E" w:rsidP="00A6007B">
            <w:pPr>
              <w:spacing w:line="276" w:lineRule="auto"/>
              <w:jc w:val="left"/>
              <w:rPr>
                <w:b w:val="0"/>
              </w:rPr>
            </w:pPr>
            <w:r w:rsidRPr="00500FA1">
              <w:rPr>
                <w:b w:val="0"/>
              </w:rPr>
              <w:t>Most current data on end</w:t>
            </w:r>
            <w:r w:rsidR="00A6007B">
              <w:rPr>
                <w:b w:val="0"/>
              </w:rPr>
              <w:t>-</w:t>
            </w:r>
            <w:r w:rsidRPr="00500FA1">
              <w:rPr>
                <w:b w:val="0"/>
              </w:rPr>
              <w:t>use penetration and saturation; penetration and saturation of the market of competing fuel end uses; behavioral factors affecting energy use.</w:t>
            </w:r>
          </w:p>
        </w:tc>
        <w:tc>
          <w:tcPr>
            <w:tcW w:w="2880" w:type="dxa"/>
            <w:tcBorders>
              <w:top w:val="single" w:sz="6" w:space="0" w:color="auto"/>
              <w:left w:val="single" w:sz="6" w:space="0" w:color="auto"/>
              <w:right w:val="double" w:sz="6" w:space="0" w:color="auto"/>
            </w:tcBorders>
          </w:tcPr>
          <w:p w14:paraId="202A6392" w14:textId="72475E17" w:rsidR="00A40E5E" w:rsidRPr="00500FA1" w:rsidRDefault="00A40E5E" w:rsidP="00500FA1">
            <w:pPr>
              <w:spacing w:line="276" w:lineRule="auto"/>
              <w:jc w:val="left"/>
              <w:rPr>
                <w:b w:val="0"/>
              </w:rPr>
            </w:pPr>
            <w:r w:rsidRPr="00500FA1">
              <w:rPr>
                <w:b w:val="0"/>
              </w:rPr>
              <w:t>Identify and incorporate secondary sources of data and behavioral factors affecting energy use.</w:t>
            </w:r>
          </w:p>
        </w:tc>
      </w:tr>
      <w:tr w:rsidR="00A40E5E" w:rsidRPr="00500FA1" w14:paraId="42F9A962" w14:textId="77777777" w:rsidTr="00966D80">
        <w:trPr>
          <w:cantSplit/>
        </w:trPr>
        <w:tc>
          <w:tcPr>
            <w:tcW w:w="2880" w:type="dxa"/>
            <w:tcBorders>
              <w:top w:val="single" w:sz="6" w:space="0" w:color="auto"/>
              <w:left w:val="double" w:sz="6" w:space="0" w:color="auto"/>
              <w:bottom w:val="single" w:sz="6" w:space="0" w:color="auto"/>
              <w:right w:val="single" w:sz="6" w:space="0" w:color="auto"/>
            </w:tcBorders>
          </w:tcPr>
          <w:p w14:paraId="02299714" w14:textId="77777777" w:rsidR="00A40E5E" w:rsidRPr="00500FA1" w:rsidRDefault="00A40E5E" w:rsidP="00500FA1">
            <w:pPr>
              <w:spacing w:line="276" w:lineRule="auto"/>
              <w:jc w:val="left"/>
              <w:rPr>
                <w:b w:val="0"/>
              </w:rPr>
            </w:pPr>
            <w:r w:rsidRPr="00500FA1">
              <w:rPr>
                <w:b w:val="0"/>
              </w:rPr>
              <w:t>515-3-4-.03 (3) (c)</w:t>
            </w:r>
          </w:p>
          <w:p w14:paraId="10958235" w14:textId="77777777" w:rsidR="00A40E5E" w:rsidRPr="00500FA1" w:rsidRDefault="00A40E5E" w:rsidP="00500FA1">
            <w:pPr>
              <w:spacing w:line="276" w:lineRule="auto"/>
              <w:jc w:val="left"/>
              <w:rPr>
                <w:b w:val="0"/>
              </w:rPr>
            </w:pPr>
            <w:r w:rsidRPr="00500FA1">
              <w:rPr>
                <w:b w:val="0"/>
              </w:rPr>
              <w:t>Data requirements</w:t>
            </w:r>
          </w:p>
        </w:tc>
        <w:tc>
          <w:tcPr>
            <w:tcW w:w="2880" w:type="dxa"/>
            <w:tcBorders>
              <w:top w:val="single" w:sz="6" w:space="0" w:color="auto"/>
              <w:left w:val="single" w:sz="6" w:space="0" w:color="auto"/>
              <w:bottom w:val="single" w:sz="6" w:space="0" w:color="auto"/>
              <w:right w:val="single" w:sz="6" w:space="0" w:color="auto"/>
            </w:tcBorders>
          </w:tcPr>
          <w:p w14:paraId="52B0D79D" w14:textId="77777777" w:rsidR="00A40E5E" w:rsidRPr="00500FA1" w:rsidRDefault="00A40E5E" w:rsidP="00500FA1">
            <w:pPr>
              <w:spacing w:line="276" w:lineRule="auto"/>
              <w:jc w:val="left"/>
              <w:rPr>
                <w:b w:val="0"/>
              </w:rPr>
            </w:pPr>
            <w:r w:rsidRPr="00500FA1">
              <w:rPr>
                <w:b w:val="0"/>
              </w:rPr>
              <w:t>Develop a data base of electricity consumption patterns by customer class and end use.</w:t>
            </w:r>
          </w:p>
        </w:tc>
        <w:tc>
          <w:tcPr>
            <w:tcW w:w="2880" w:type="dxa"/>
            <w:tcBorders>
              <w:top w:val="single" w:sz="6" w:space="0" w:color="auto"/>
              <w:left w:val="single" w:sz="6" w:space="0" w:color="auto"/>
              <w:bottom w:val="single" w:sz="6" w:space="0" w:color="auto"/>
              <w:right w:val="double" w:sz="6" w:space="0" w:color="auto"/>
            </w:tcBorders>
          </w:tcPr>
          <w:p w14:paraId="654C80E4" w14:textId="27C1E3B8" w:rsidR="00A40E5E" w:rsidRPr="00500FA1" w:rsidRDefault="005F2DC4" w:rsidP="00442E1D">
            <w:pPr>
              <w:spacing w:line="276" w:lineRule="auto"/>
              <w:jc w:val="left"/>
              <w:rPr>
                <w:b w:val="0"/>
              </w:rPr>
            </w:pPr>
            <w:r w:rsidRPr="00636F0A">
              <w:rPr>
                <w:b w:val="0"/>
              </w:rPr>
              <w:t>Maintain and leverage existing end-use load shape information with Energy Simulation tools.</w:t>
            </w:r>
          </w:p>
        </w:tc>
      </w:tr>
      <w:tr w:rsidR="00A40E5E" w:rsidRPr="00500FA1" w14:paraId="552985FB" w14:textId="77777777" w:rsidTr="00966D80">
        <w:trPr>
          <w:cantSplit/>
        </w:trPr>
        <w:tc>
          <w:tcPr>
            <w:tcW w:w="2880" w:type="dxa"/>
            <w:tcBorders>
              <w:left w:val="double" w:sz="6" w:space="0" w:color="auto"/>
              <w:bottom w:val="single" w:sz="6" w:space="0" w:color="auto"/>
              <w:right w:val="single" w:sz="6" w:space="0" w:color="auto"/>
            </w:tcBorders>
          </w:tcPr>
          <w:p w14:paraId="7EE3E66B" w14:textId="77777777" w:rsidR="00A40E5E" w:rsidRPr="00500FA1" w:rsidRDefault="00A40E5E" w:rsidP="00500FA1">
            <w:pPr>
              <w:spacing w:line="276" w:lineRule="auto"/>
              <w:jc w:val="left"/>
              <w:rPr>
                <w:b w:val="0"/>
              </w:rPr>
            </w:pPr>
            <w:r w:rsidRPr="00500FA1">
              <w:rPr>
                <w:b w:val="0"/>
              </w:rPr>
              <w:t>515-3-4-.03 (3) (e)</w:t>
            </w:r>
          </w:p>
        </w:tc>
        <w:tc>
          <w:tcPr>
            <w:tcW w:w="2880" w:type="dxa"/>
            <w:tcBorders>
              <w:left w:val="single" w:sz="6" w:space="0" w:color="auto"/>
              <w:bottom w:val="single" w:sz="6" w:space="0" w:color="auto"/>
              <w:right w:val="single" w:sz="6" w:space="0" w:color="auto"/>
            </w:tcBorders>
          </w:tcPr>
          <w:p w14:paraId="080BA490" w14:textId="77777777" w:rsidR="00A40E5E" w:rsidRPr="00500FA1" w:rsidRDefault="00A40E5E" w:rsidP="00500FA1">
            <w:pPr>
              <w:spacing w:line="276" w:lineRule="auto"/>
              <w:jc w:val="left"/>
              <w:rPr>
                <w:b w:val="0"/>
              </w:rPr>
            </w:pPr>
            <w:r w:rsidRPr="00500FA1">
              <w:rPr>
                <w:b w:val="0"/>
              </w:rPr>
              <w:t>Identify and describe ongoing and planned load research</w:t>
            </w:r>
          </w:p>
        </w:tc>
        <w:tc>
          <w:tcPr>
            <w:tcW w:w="2880" w:type="dxa"/>
            <w:tcBorders>
              <w:left w:val="single" w:sz="6" w:space="0" w:color="auto"/>
              <w:bottom w:val="single" w:sz="6" w:space="0" w:color="auto"/>
              <w:right w:val="double" w:sz="6" w:space="0" w:color="auto"/>
            </w:tcBorders>
          </w:tcPr>
          <w:p w14:paraId="41B4EE5F" w14:textId="67A4FA33" w:rsidR="00A40E5E" w:rsidRPr="00500FA1" w:rsidRDefault="00A40E5E" w:rsidP="00500FA1">
            <w:pPr>
              <w:spacing w:line="276" w:lineRule="auto"/>
              <w:jc w:val="left"/>
              <w:rPr>
                <w:b w:val="0"/>
              </w:rPr>
            </w:pPr>
            <w:r w:rsidRPr="00500FA1">
              <w:rPr>
                <w:b w:val="0"/>
              </w:rPr>
              <w:t xml:space="preserve">Continuous load research studies of all customer classes. The quality of each sample is checked </w:t>
            </w:r>
            <w:r w:rsidR="000F291D" w:rsidRPr="00500FA1">
              <w:rPr>
                <w:b w:val="0"/>
              </w:rPr>
              <w:t>periodically,</w:t>
            </w:r>
            <w:r w:rsidRPr="00500FA1">
              <w:rPr>
                <w:b w:val="0"/>
              </w:rPr>
              <w:t xml:space="preserve"> and the sample is replaced if needed.</w:t>
            </w:r>
          </w:p>
        </w:tc>
      </w:tr>
      <w:tr w:rsidR="00A40E5E" w:rsidRPr="00500FA1" w14:paraId="6D1CC546" w14:textId="77777777" w:rsidTr="00966D80">
        <w:trPr>
          <w:cantSplit/>
        </w:trPr>
        <w:tc>
          <w:tcPr>
            <w:tcW w:w="2880" w:type="dxa"/>
            <w:tcBorders>
              <w:left w:val="double" w:sz="6" w:space="0" w:color="auto"/>
              <w:bottom w:val="double" w:sz="6" w:space="0" w:color="auto"/>
              <w:right w:val="single" w:sz="6" w:space="0" w:color="auto"/>
            </w:tcBorders>
          </w:tcPr>
          <w:p w14:paraId="3505D55C" w14:textId="77777777" w:rsidR="00A40E5E" w:rsidRPr="00500FA1" w:rsidRDefault="00A40E5E" w:rsidP="00500FA1">
            <w:pPr>
              <w:spacing w:line="276" w:lineRule="auto"/>
              <w:jc w:val="left"/>
              <w:rPr>
                <w:b w:val="0"/>
              </w:rPr>
            </w:pPr>
            <w:r w:rsidRPr="00500FA1">
              <w:rPr>
                <w:b w:val="0"/>
              </w:rPr>
              <w:t>515-3-4-.04 (4).</w:t>
            </w:r>
          </w:p>
          <w:p w14:paraId="3BD708D5" w14:textId="77777777" w:rsidR="00A40E5E" w:rsidRPr="00500FA1" w:rsidRDefault="00A40E5E" w:rsidP="00500FA1">
            <w:pPr>
              <w:spacing w:line="276" w:lineRule="auto"/>
              <w:jc w:val="left"/>
              <w:rPr>
                <w:b w:val="0"/>
              </w:rPr>
            </w:pPr>
            <w:r w:rsidRPr="00500FA1">
              <w:rPr>
                <w:b w:val="0"/>
              </w:rPr>
              <w:t>Potential new demand side resources</w:t>
            </w:r>
          </w:p>
        </w:tc>
        <w:tc>
          <w:tcPr>
            <w:tcW w:w="2880" w:type="dxa"/>
            <w:tcBorders>
              <w:left w:val="single" w:sz="6" w:space="0" w:color="auto"/>
              <w:bottom w:val="double" w:sz="6" w:space="0" w:color="auto"/>
              <w:right w:val="single" w:sz="6" w:space="0" w:color="auto"/>
            </w:tcBorders>
          </w:tcPr>
          <w:p w14:paraId="437AA81F" w14:textId="77777777" w:rsidR="00A40E5E" w:rsidRPr="00500FA1" w:rsidRDefault="00A40E5E" w:rsidP="00500FA1">
            <w:pPr>
              <w:spacing w:line="276" w:lineRule="auto"/>
              <w:jc w:val="left"/>
              <w:rPr>
                <w:b w:val="0"/>
              </w:rPr>
            </w:pPr>
            <w:r w:rsidRPr="00500FA1">
              <w:rPr>
                <w:b w:val="0"/>
              </w:rPr>
              <w:t>Data to support analysis of new demand side resources, including identification of customer needs, and assessment of market potential.</w:t>
            </w:r>
          </w:p>
        </w:tc>
        <w:tc>
          <w:tcPr>
            <w:tcW w:w="2880" w:type="dxa"/>
            <w:tcBorders>
              <w:left w:val="single" w:sz="6" w:space="0" w:color="auto"/>
              <w:bottom w:val="double" w:sz="6" w:space="0" w:color="auto"/>
              <w:right w:val="double" w:sz="6" w:space="0" w:color="auto"/>
            </w:tcBorders>
          </w:tcPr>
          <w:p w14:paraId="539097CF" w14:textId="37CF48D2" w:rsidR="00A40E5E" w:rsidRPr="00500FA1" w:rsidRDefault="00ED29BD" w:rsidP="00500FA1">
            <w:pPr>
              <w:spacing w:line="276" w:lineRule="auto"/>
              <w:jc w:val="left"/>
              <w:rPr>
                <w:b w:val="0"/>
              </w:rPr>
            </w:pPr>
            <w:r w:rsidRPr="00BC43FA">
              <w:rPr>
                <w:b w:val="0"/>
              </w:rPr>
              <w:t>Evaluate energy efficiency measures that are suitable for Georgia Power customers, climate, residences, buildings, and facilities. Conduct an energy efficiency technical, economic, and achievable potential study.</w:t>
            </w:r>
          </w:p>
        </w:tc>
      </w:tr>
    </w:tbl>
    <w:p w14:paraId="03C90FE9" w14:textId="77777777" w:rsidR="00A40E5E" w:rsidRPr="003A3426" w:rsidRDefault="00A40E5E" w:rsidP="00F66B29">
      <w:pPr>
        <w:spacing w:after="240"/>
      </w:pPr>
    </w:p>
    <w:p w14:paraId="4A107D4F" w14:textId="43F32EC3" w:rsidR="00A40E5E" w:rsidRDefault="00D42444" w:rsidP="00500FA1">
      <w:pPr>
        <w:pStyle w:val="Heading2"/>
        <w:spacing w:line="360" w:lineRule="auto"/>
        <w:jc w:val="left"/>
        <w:rPr>
          <w:rFonts w:ascii="Arial" w:hAnsi="Arial" w:cs="Arial"/>
          <w:b/>
          <w:color w:val="auto"/>
          <w:sz w:val="20"/>
          <w:szCs w:val="20"/>
        </w:rPr>
      </w:pPr>
      <w:bookmarkStart w:id="602" w:name="_Toc347120494"/>
      <w:bookmarkStart w:id="603" w:name="_Toc188257192"/>
      <w:bookmarkStart w:id="604" w:name="_Toc188257407"/>
      <w:bookmarkStart w:id="605" w:name="_Toc188257631"/>
      <w:bookmarkStart w:id="606" w:name="_Toc189162641"/>
      <w:r>
        <w:rPr>
          <w:rFonts w:ascii="Arial" w:hAnsi="Arial" w:cs="Arial"/>
          <w:b/>
          <w:color w:val="auto"/>
          <w:sz w:val="20"/>
          <w:szCs w:val="20"/>
        </w:rPr>
        <w:t>10</w:t>
      </w:r>
      <w:r w:rsidR="00A40E5E" w:rsidRPr="00500FA1">
        <w:rPr>
          <w:rFonts w:ascii="Arial" w:hAnsi="Arial" w:cs="Arial"/>
          <w:b/>
          <w:color w:val="auto"/>
          <w:sz w:val="20"/>
          <w:szCs w:val="20"/>
        </w:rPr>
        <w:t>.5.</w:t>
      </w:r>
      <w:r w:rsidR="00C85266">
        <w:rPr>
          <w:rFonts w:ascii="Arial" w:hAnsi="Arial" w:cs="Arial"/>
          <w:b/>
          <w:color w:val="auto"/>
          <w:sz w:val="20"/>
          <w:szCs w:val="20"/>
        </w:rPr>
        <w:t>2</w:t>
      </w:r>
      <w:r w:rsidR="00A40E5E" w:rsidRPr="00500FA1">
        <w:rPr>
          <w:rFonts w:ascii="Arial" w:hAnsi="Arial" w:cs="Arial"/>
          <w:b/>
          <w:color w:val="auto"/>
          <w:sz w:val="20"/>
          <w:szCs w:val="20"/>
        </w:rPr>
        <w:tab/>
        <w:t>Survey Research</w:t>
      </w:r>
      <w:bookmarkEnd w:id="602"/>
      <w:bookmarkEnd w:id="603"/>
      <w:bookmarkEnd w:id="604"/>
      <w:bookmarkEnd w:id="605"/>
      <w:bookmarkEnd w:id="606"/>
    </w:p>
    <w:p w14:paraId="7EF83612" w14:textId="77777777" w:rsidR="00DB274A" w:rsidRPr="00DB274A" w:rsidRDefault="00DB274A" w:rsidP="00DB274A"/>
    <w:p w14:paraId="75A41544" w14:textId="55576B95" w:rsidR="00A40E5E" w:rsidRPr="00DB274A" w:rsidRDefault="00D42444" w:rsidP="00DB274A">
      <w:pPr>
        <w:jc w:val="left"/>
        <w:rPr>
          <w:sz w:val="18"/>
          <w:szCs w:val="18"/>
        </w:rPr>
      </w:pPr>
      <w:bookmarkStart w:id="607" w:name="_Toc347120495"/>
      <w:r>
        <w:rPr>
          <w:sz w:val="18"/>
          <w:szCs w:val="18"/>
        </w:rPr>
        <w:t>10</w:t>
      </w:r>
      <w:r w:rsidR="00A40E5E" w:rsidRPr="00DB274A">
        <w:rPr>
          <w:sz w:val="18"/>
          <w:szCs w:val="18"/>
        </w:rPr>
        <w:t>.5.</w:t>
      </w:r>
      <w:r w:rsidR="00C85266" w:rsidRPr="00DB274A">
        <w:rPr>
          <w:sz w:val="18"/>
          <w:szCs w:val="18"/>
        </w:rPr>
        <w:t>2</w:t>
      </w:r>
      <w:r w:rsidR="00A40E5E" w:rsidRPr="00DB274A">
        <w:rPr>
          <w:sz w:val="18"/>
          <w:szCs w:val="18"/>
        </w:rPr>
        <w:t>.1 Regulatory Requirements</w:t>
      </w:r>
      <w:bookmarkEnd w:id="607"/>
    </w:p>
    <w:p w14:paraId="32D0BC2D" w14:textId="77777777" w:rsidR="004C3F4F" w:rsidRPr="004C3F4F" w:rsidRDefault="004C3F4F" w:rsidP="004C3F4F"/>
    <w:p w14:paraId="1F188F9C" w14:textId="7F70F0DA" w:rsidR="00A40E5E" w:rsidRPr="003A3426" w:rsidRDefault="00A40E5E" w:rsidP="00754AAB">
      <w:pPr>
        <w:pStyle w:val="BodyText2"/>
        <w:spacing w:after="0" w:line="360" w:lineRule="auto"/>
        <w:jc w:val="both"/>
      </w:pPr>
      <w:r w:rsidRPr="00D9586A">
        <w:rPr>
          <w:b w:val="0"/>
        </w:rPr>
        <w:t>Commission rules require the filing of information on the saturation and penetration of end</w:t>
      </w:r>
      <w:r w:rsidR="004C3F4F">
        <w:rPr>
          <w:b w:val="0"/>
        </w:rPr>
        <w:t>-</w:t>
      </w:r>
      <w:r w:rsidRPr="00D9586A">
        <w:rPr>
          <w:b w:val="0"/>
        </w:rPr>
        <w:t>use equipment, including both electrical and alternative fueled end uses. In addition, the rules require that the forecast be based on a disaggregated end</w:t>
      </w:r>
      <w:r w:rsidR="004C3F4F">
        <w:rPr>
          <w:b w:val="0"/>
        </w:rPr>
        <w:t>-</w:t>
      </w:r>
      <w:r w:rsidRPr="00D9586A">
        <w:rPr>
          <w:b w:val="0"/>
        </w:rPr>
        <w:t>use method or some other comparable forecasting methodology, which requires information on the saturation and penetration of end</w:t>
      </w:r>
      <w:r w:rsidR="004C3F4F">
        <w:rPr>
          <w:b w:val="0"/>
        </w:rPr>
        <w:t>-</w:t>
      </w:r>
      <w:r w:rsidRPr="00D9586A">
        <w:rPr>
          <w:b w:val="0"/>
        </w:rPr>
        <w:t>use equipment. Further, the rules require the development of an end</w:t>
      </w:r>
      <w:r w:rsidR="004C3F4F">
        <w:rPr>
          <w:b w:val="0"/>
        </w:rPr>
        <w:t>-</w:t>
      </w:r>
      <w:r w:rsidRPr="00D9586A">
        <w:rPr>
          <w:b w:val="0"/>
        </w:rPr>
        <w:t>use technology catalog based on service area specific information, including information on equipment efficiencies, useful life, and energy and capacity impact information. To the extent that the disaggregated end</w:t>
      </w:r>
      <w:r w:rsidR="004C3F4F">
        <w:rPr>
          <w:b w:val="0"/>
        </w:rPr>
        <w:t>-</w:t>
      </w:r>
      <w:r w:rsidRPr="00D9586A">
        <w:rPr>
          <w:b w:val="0"/>
        </w:rPr>
        <w:t>use methodology is used to develop the forecast, this research program will provide the data necessary to support this analysis and development of the forecast.</w:t>
      </w:r>
    </w:p>
    <w:p w14:paraId="54161EDD" w14:textId="77777777" w:rsidR="00DB274A" w:rsidRDefault="00DB274A" w:rsidP="008E59D0">
      <w:pPr>
        <w:jc w:val="left"/>
      </w:pPr>
      <w:bookmarkStart w:id="608" w:name="_Toc347120496"/>
    </w:p>
    <w:p w14:paraId="0C4A2439" w14:textId="2D256D1C" w:rsidR="00A40E5E" w:rsidRPr="00DB274A" w:rsidRDefault="00D42444" w:rsidP="00DB274A">
      <w:pPr>
        <w:jc w:val="left"/>
        <w:rPr>
          <w:sz w:val="18"/>
          <w:szCs w:val="18"/>
        </w:rPr>
      </w:pPr>
      <w:r>
        <w:rPr>
          <w:sz w:val="18"/>
          <w:szCs w:val="18"/>
        </w:rPr>
        <w:t>10</w:t>
      </w:r>
      <w:r w:rsidR="00A40E5E" w:rsidRPr="00DB274A">
        <w:rPr>
          <w:sz w:val="18"/>
          <w:szCs w:val="18"/>
        </w:rPr>
        <w:t>.5.</w:t>
      </w:r>
      <w:r w:rsidR="00C85266" w:rsidRPr="00DB274A">
        <w:rPr>
          <w:sz w:val="18"/>
          <w:szCs w:val="18"/>
        </w:rPr>
        <w:t>2</w:t>
      </w:r>
      <w:r w:rsidR="00A40E5E" w:rsidRPr="00DB274A">
        <w:rPr>
          <w:sz w:val="18"/>
          <w:szCs w:val="18"/>
        </w:rPr>
        <w:t>.2 Data Collection and Utilization Plan</w:t>
      </w:r>
      <w:bookmarkEnd w:id="608"/>
    </w:p>
    <w:p w14:paraId="135C5C4D" w14:textId="77777777" w:rsidR="004C3F4F" w:rsidRPr="004C3F4F" w:rsidRDefault="004C3F4F" w:rsidP="004C3F4F"/>
    <w:p w14:paraId="052AD9E5" w14:textId="78AC32C9" w:rsidR="00A40E5E" w:rsidRPr="00D9586A" w:rsidRDefault="00F144E4" w:rsidP="00736EBB">
      <w:pPr>
        <w:pStyle w:val="BodyText2"/>
        <w:spacing w:after="0" w:line="360" w:lineRule="auto"/>
        <w:jc w:val="both"/>
        <w:rPr>
          <w:b w:val="0"/>
        </w:rPr>
      </w:pPr>
      <w:r w:rsidRPr="00500FA1">
        <w:rPr>
          <w:b w:val="0"/>
        </w:rPr>
        <w:t>Use readily available information such as the U</w:t>
      </w:r>
      <w:r w:rsidR="004C039E">
        <w:rPr>
          <w:b w:val="0"/>
        </w:rPr>
        <w:t>.</w:t>
      </w:r>
      <w:r w:rsidRPr="00500FA1">
        <w:rPr>
          <w:b w:val="0"/>
        </w:rPr>
        <w:t>S</w:t>
      </w:r>
      <w:r w:rsidR="004C039E">
        <w:rPr>
          <w:b w:val="0"/>
        </w:rPr>
        <w:t>.</w:t>
      </w:r>
      <w:r w:rsidRPr="00500FA1">
        <w:rPr>
          <w:b w:val="0"/>
        </w:rPr>
        <w:t xml:space="preserve"> Energy Information Administration</w:t>
      </w:r>
      <w:r w:rsidR="005011BF">
        <w:rPr>
          <w:b w:val="0"/>
        </w:rPr>
        <w:t>’s</w:t>
      </w:r>
      <w:r w:rsidRPr="00500FA1">
        <w:rPr>
          <w:b w:val="0"/>
        </w:rPr>
        <w:t xml:space="preserve"> RECS, CBECS</w:t>
      </w:r>
      <w:r w:rsidR="00422866">
        <w:rPr>
          <w:b w:val="0"/>
        </w:rPr>
        <w:t>,</w:t>
      </w:r>
      <w:r w:rsidRPr="00500FA1">
        <w:rPr>
          <w:b w:val="0"/>
        </w:rPr>
        <w:t xml:space="preserve"> and MECS</w:t>
      </w:r>
      <w:r w:rsidR="00C72EE6">
        <w:rPr>
          <w:b w:val="0"/>
        </w:rPr>
        <w:t>, a</w:t>
      </w:r>
      <w:r w:rsidR="00861FE2">
        <w:rPr>
          <w:b w:val="0"/>
        </w:rPr>
        <w:t>nd the AEO</w:t>
      </w:r>
      <w:r w:rsidR="00062D70">
        <w:rPr>
          <w:b w:val="0"/>
        </w:rPr>
        <w:t xml:space="preserve"> </w:t>
      </w:r>
      <w:r w:rsidRPr="00500FA1">
        <w:rPr>
          <w:b w:val="0"/>
        </w:rPr>
        <w:t>for the South Atlantic Region to develop end</w:t>
      </w:r>
      <w:r>
        <w:rPr>
          <w:b w:val="0"/>
        </w:rPr>
        <w:t>-</w:t>
      </w:r>
      <w:r w:rsidRPr="00500FA1">
        <w:rPr>
          <w:b w:val="0"/>
        </w:rPr>
        <w:t>use penetration and saturation trends and measure customer building characteristics.</w:t>
      </w:r>
      <w:r w:rsidR="00A40E5E" w:rsidRPr="00D9586A">
        <w:rPr>
          <w:b w:val="0"/>
        </w:rPr>
        <w:t xml:space="preserve"> </w:t>
      </w:r>
    </w:p>
    <w:p w14:paraId="57F5E2E2" w14:textId="77777777" w:rsidR="00A40E5E" w:rsidRPr="00D9586A" w:rsidRDefault="00A40E5E" w:rsidP="00262E1C">
      <w:pPr>
        <w:pStyle w:val="BodyText2"/>
        <w:spacing w:line="360" w:lineRule="auto"/>
        <w:jc w:val="both"/>
        <w:rPr>
          <w:b w:val="0"/>
        </w:rPr>
      </w:pPr>
    </w:p>
    <w:p w14:paraId="0F0DD6E4" w14:textId="22F6E34C" w:rsidR="00A40E5E" w:rsidRPr="00E46AA1" w:rsidRDefault="00D42444" w:rsidP="00754AAB">
      <w:pPr>
        <w:pStyle w:val="Heading2"/>
        <w:spacing w:before="0" w:line="360" w:lineRule="auto"/>
        <w:jc w:val="left"/>
        <w:rPr>
          <w:sz w:val="24"/>
          <w:szCs w:val="24"/>
        </w:rPr>
      </w:pPr>
      <w:bookmarkStart w:id="609" w:name="_Toc347120497"/>
      <w:bookmarkStart w:id="610" w:name="_Toc188257193"/>
      <w:bookmarkStart w:id="611" w:name="_Toc188257408"/>
      <w:bookmarkStart w:id="612" w:name="_Toc188257632"/>
      <w:bookmarkStart w:id="613" w:name="_Toc189162642"/>
      <w:r>
        <w:rPr>
          <w:rFonts w:ascii="Arial" w:hAnsi="Arial" w:cs="Arial"/>
          <w:b/>
          <w:color w:val="auto"/>
          <w:sz w:val="20"/>
          <w:szCs w:val="20"/>
        </w:rPr>
        <w:t>10</w:t>
      </w:r>
      <w:r w:rsidR="00A40E5E" w:rsidRPr="00D9586A">
        <w:rPr>
          <w:rFonts w:ascii="Arial" w:hAnsi="Arial" w:cs="Arial"/>
          <w:b/>
          <w:color w:val="auto"/>
          <w:sz w:val="20"/>
          <w:szCs w:val="20"/>
        </w:rPr>
        <w:t>.5.</w:t>
      </w:r>
      <w:r w:rsidR="00C85266">
        <w:rPr>
          <w:rFonts w:ascii="Arial" w:hAnsi="Arial" w:cs="Arial"/>
          <w:b/>
          <w:color w:val="auto"/>
          <w:sz w:val="20"/>
          <w:szCs w:val="20"/>
        </w:rPr>
        <w:t>3</w:t>
      </w:r>
      <w:r w:rsidR="00A40E5E" w:rsidRPr="00D9586A">
        <w:rPr>
          <w:rFonts w:ascii="Arial" w:hAnsi="Arial" w:cs="Arial"/>
          <w:b/>
          <w:color w:val="auto"/>
          <w:sz w:val="20"/>
          <w:szCs w:val="20"/>
        </w:rPr>
        <w:tab/>
        <w:t>Load Research</w:t>
      </w:r>
      <w:bookmarkEnd w:id="609"/>
      <w:bookmarkEnd w:id="610"/>
      <w:bookmarkEnd w:id="611"/>
      <w:bookmarkEnd w:id="612"/>
      <w:bookmarkEnd w:id="613"/>
    </w:p>
    <w:p w14:paraId="06B9FAF6" w14:textId="77777777" w:rsidR="00DB274A" w:rsidRPr="003A3426" w:rsidRDefault="00DB274A" w:rsidP="00A40E5E">
      <w:pPr>
        <w:jc w:val="left"/>
      </w:pPr>
    </w:p>
    <w:p w14:paraId="21A39CE2" w14:textId="5E949714" w:rsidR="00A40E5E" w:rsidRPr="00DB274A" w:rsidRDefault="00D42444" w:rsidP="00DB274A">
      <w:pPr>
        <w:jc w:val="left"/>
        <w:rPr>
          <w:sz w:val="18"/>
          <w:szCs w:val="18"/>
        </w:rPr>
      </w:pPr>
      <w:bookmarkStart w:id="614" w:name="_Toc347120498"/>
      <w:r>
        <w:rPr>
          <w:sz w:val="18"/>
          <w:szCs w:val="18"/>
        </w:rPr>
        <w:t>10</w:t>
      </w:r>
      <w:r w:rsidR="00A40E5E" w:rsidRPr="00DB274A">
        <w:rPr>
          <w:sz w:val="18"/>
          <w:szCs w:val="18"/>
        </w:rPr>
        <w:t>.5.</w:t>
      </w:r>
      <w:r w:rsidR="00C85266" w:rsidRPr="00DB274A">
        <w:rPr>
          <w:sz w:val="18"/>
          <w:szCs w:val="18"/>
        </w:rPr>
        <w:t>3</w:t>
      </w:r>
      <w:r w:rsidR="00A40E5E" w:rsidRPr="00DB274A">
        <w:rPr>
          <w:sz w:val="18"/>
          <w:szCs w:val="18"/>
        </w:rPr>
        <w:t>.1 Regulatory Requirements</w:t>
      </w:r>
      <w:bookmarkEnd w:id="614"/>
    </w:p>
    <w:p w14:paraId="1CC64AB1" w14:textId="77777777" w:rsidR="00D9586A" w:rsidRDefault="00D9586A" w:rsidP="00A40E5E">
      <w:pPr>
        <w:pStyle w:val="BodyText"/>
      </w:pPr>
    </w:p>
    <w:p w14:paraId="7E2C31CD" w14:textId="7A981EF7" w:rsidR="00A40E5E" w:rsidRPr="00D9586A" w:rsidRDefault="00A40E5E" w:rsidP="00736EBB">
      <w:pPr>
        <w:pStyle w:val="BodyText"/>
        <w:spacing w:after="0" w:line="360" w:lineRule="auto"/>
        <w:jc w:val="both"/>
        <w:rPr>
          <w:b w:val="0"/>
        </w:rPr>
      </w:pPr>
      <w:r w:rsidRPr="00D9586A">
        <w:rPr>
          <w:b w:val="0"/>
        </w:rPr>
        <w:t xml:space="preserve">Commission rules require the filing of information on the demand and energy characteristics of each of the </w:t>
      </w:r>
      <w:r w:rsidR="00422866" w:rsidRPr="00D9586A">
        <w:rPr>
          <w:b w:val="0"/>
        </w:rPr>
        <w:t>utility</w:t>
      </w:r>
      <w:r w:rsidR="00422866">
        <w:rPr>
          <w:b w:val="0"/>
        </w:rPr>
        <w:t>’</w:t>
      </w:r>
      <w:r w:rsidR="00422866" w:rsidRPr="00D9586A">
        <w:rPr>
          <w:b w:val="0"/>
        </w:rPr>
        <w:t xml:space="preserve">s </w:t>
      </w:r>
      <w:r w:rsidRPr="00D9586A">
        <w:rPr>
          <w:b w:val="0"/>
        </w:rPr>
        <w:t>classes, including load profiles, on-peak, off-peak, and shoulder kWh, and summer, winter and annual peak demands, for the most recent three years of history and the first three years of the forecast period.</w:t>
      </w:r>
    </w:p>
    <w:p w14:paraId="007F8CF2" w14:textId="77777777" w:rsidR="00A40E5E" w:rsidRPr="00D9586A" w:rsidRDefault="00A40E5E" w:rsidP="00736EBB">
      <w:pPr>
        <w:pStyle w:val="BodyText"/>
        <w:spacing w:after="0" w:line="360" w:lineRule="auto"/>
        <w:jc w:val="both"/>
        <w:rPr>
          <w:b w:val="0"/>
        </w:rPr>
      </w:pPr>
    </w:p>
    <w:p w14:paraId="384EE2FA" w14:textId="1C638201" w:rsidR="00A40E5E" w:rsidRPr="00D9586A" w:rsidRDefault="00A40E5E" w:rsidP="00736EBB">
      <w:pPr>
        <w:pStyle w:val="BodyText"/>
        <w:spacing w:after="0" w:line="360" w:lineRule="auto"/>
        <w:jc w:val="both"/>
        <w:rPr>
          <w:b w:val="0"/>
        </w:rPr>
      </w:pPr>
      <w:r w:rsidRPr="00D9586A">
        <w:rPr>
          <w:b w:val="0"/>
        </w:rPr>
        <w:t>The rules require the development and filing of load and consumption information for each customer class.</w:t>
      </w:r>
      <w:r w:rsidR="00616255">
        <w:rPr>
          <w:b w:val="0"/>
        </w:rPr>
        <w:t xml:space="preserve"> </w:t>
      </w:r>
      <w:r w:rsidRPr="00D9586A">
        <w:rPr>
          <w:b w:val="0"/>
        </w:rPr>
        <w:t xml:space="preserve">In addition, the rules require that the forecast used in the </w:t>
      </w:r>
      <w:r w:rsidR="00422866">
        <w:rPr>
          <w:b w:val="0"/>
        </w:rPr>
        <w:t>IRP</w:t>
      </w:r>
      <w:r w:rsidRPr="00D9586A">
        <w:rPr>
          <w:b w:val="0"/>
        </w:rPr>
        <w:t xml:space="preserve"> filing be based on disaggregated end-use methods or some other comparable forecasting methodology.</w:t>
      </w:r>
    </w:p>
    <w:p w14:paraId="45665A1A" w14:textId="77777777" w:rsidR="00A40E5E" w:rsidRPr="00D9586A" w:rsidRDefault="00A40E5E" w:rsidP="00736EBB">
      <w:pPr>
        <w:pStyle w:val="BodyText"/>
        <w:spacing w:after="0" w:line="360" w:lineRule="auto"/>
        <w:jc w:val="both"/>
        <w:rPr>
          <w:b w:val="0"/>
        </w:rPr>
      </w:pPr>
    </w:p>
    <w:p w14:paraId="029B6F1E" w14:textId="77777777" w:rsidR="00A40E5E" w:rsidRDefault="00A40E5E" w:rsidP="00736EBB">
      <w:pPr>
        <w:pStyle w:val="BodyText"/>
        <w:spacing w:after="0" w:line="360" w:lineRule="auto"/>
        <w:jc w:val="both"/>
        <w:rPr>
          <w:b w:val="0"/>
        </w:rPr>
      </w:pPr>
      <w:r w:rsidRPr="00D9586A">
        <w:rPr>
          <w:b w:val="0"/>
        </w:rPr>
        <w:t>The load research component of this research plan will provide the data to meet these requirements.</w:t>
      </w:r>
    </w:p>
    <w:p w14:paraId="651B6EA5" w14:textId="77777777" w:rsidR="00DB274A" w:rsidRPr="00D9586A" w:rsidRDefault="00DB274A" w:rsidP="00F66B29">
      <w:pPr>
        <w:pStyle w:val="BodyText"/>
        <w:spacing w:after="0" w:line="360" w:lineRule="auto"/>
        <w:jc w:val="both"/>
        <w:rPr>
          <w:b w:val="0"/>
        </w:rPr>
      </w:pPr>
    </w:p>
    <w:p w14:paraId="1900655E" w14:textId="6DC96E9B" w:rsidR="00A40E5E" w:rsidRPr="00DB274A" w:rsidRDefault="00D42444" w:rsidP="008E59D0">
      <w:pPr>
        <w:jc w:val="left"/>
        <w:rPr>
          <w:sz w:val="18"/>
          <w:szCs w:val="18"/>
        </w:rPr>
      </w:pPr>
      <w:bookmarkStart w:id="615" w:name="_Toc347120499"/>
      <w:r>
        <w:rPr>
          <w:sz w:val="18"/>
          <w:szCs w:val="18"/>
        </w:rPr>
        <w:t>10</w:t>
      </w:r>
      <w:r w:rsidR="00A75934" w:rsidRPr="00DB274A">
        <w:rPr>
          <w:sz w:val="18"/>
          <w:szCs w:val="18"/>
        </w:rPr>
        <w:t>.5.</w:t>
      </w:r>
      <w:r w:rsidR="00C85266" w:rsidRPr="00DB274A">
        <w:rPr>
          <w:sz w:val="18"/>
          <w:szCs w:val="18"/>
        </w:rPr>
        <w:t>3</w:t>
      </w:r>
      <w:r w:rsidR="00A40E5E" w:rsidRPr="00DB274A">
        <w:rPr>
          <w:sz w:val="18"/>
          <w:szCs w:val="18"/>
        </w:rPr>
        <w:t>.2 Class Load Research Project</w:t>
      </w:r>
      <w:bookmarkEnd w:id="615"/>
    </w:p>
    <w:p w14:paraId="3F3D7B26" w14:textId="77777777" w:rsidR="00B04F96" w:rsidRPr="00B04F96" w:rsidRDefault="00B04F96" w:rsidP="00B04F96"/>
    <w:p w14:paraId="34AA3CE4" w14:textId="5C7AAB8B" w:rsidR="00A40E5E" w:rsidRPr="003A3426" w:rsidRDefault="00A40E5E" w:rsidP="00262E1C">
      <w:pPr>
        <w:spacing w:line="360" w:lineRule="auto"/>
        <w:jc w:val="both"/>
      </w:pPr>
      <w:r w:rsidRPr="000F5502">
        <w:rPr>
          <w:b w:val="0"/>
        </w:rPr>
        <w:t xml:space="preserve">Georgia Power </w:t>
      </w:r>
      <w:r>
        <w:rPr>
          <w:b w:val="0"/>
        </w:rPr>
        <w:t xml:space="preserve">uses </w:t>
      </w:r>
      <w:r w:rsidRPr="000F5502">
        <w:rPr>
          <w:b w:val="0"/>
        </w:rPr>
        <w:t>continuous load studies of the residential, commercial</w:t>
      </w:r>
      <w:r w:rsidR="00422866">
        <w:rPr>
          <w:b w:val="0"/>
        </w:rPr>
        <w:t>,</w:t>
      </w:r>
      <w:r w:rsidRPr="000F5502">
        <w:rPr>
          <w:b w:val="0"/>
        </w:rPr>
        <w:t xml:space="preserve"> and industrial classes t</w:t>
      </w:r>
      <w:r>
        <w:rPr>
          <w:b w:val="0"/>
        </w:rPr>
        <w:t>hat</w:t>
      </w:r>
      <w:r w:rsidRPr="000F5502">
        <w:rPr>
          <w:b w:val="0"/>
        </w:rPr>
        <w:t xml:space="preserve"> include a series of studies designed to the rate/class level. Over </w:t>
      </w:r>
      <w:r w:rsidR="001440EB">
        <w:rPr>
          <w:b w:val="0"/>
        </w:rPr>
        <w:t>2,000</w:t>
      </w:r>
      <w:r w:rsidRPr="000F5502">
        <w:rPr>
          <w:b w:val="0"/>
        </w:rPr>
        <w:t xml:space="preserve"> customers </w:t>
      </w:r>
      <w:r>
        <w:rPr>
          <w:b w:val="0"/>
        </w:rPr>
        <w:t>are</w:t>
      </w:r>
      <w:r w:rsidRPr="000F5502">
        <w:rPr>
          <w:b w:val="0"/>
        </w:rPr>
        <w:t xml:space="preserve"> selected for these studies. The studies have a combination of census groups for small populations and statistical samples for larger customer groups served at secondary distribution. These studies have installed load metering equipment on a sample of customers from each rate/class combination. </w:t>
      </w:r>
    </w:p>
    <w:p w14:paraId="01EED9BD" w14:textId="77777777" w:rsidR="00A40E5E" w:rsidRPr="00573B68" w:rsidRDefault="00A40E5E" w:rsidP="00573B68">
      <w:pPr>
        <w:rPr>
          <w:sz w:val="28"/>
          <w:szCs w:val="28"/>
        </w:rPr>
      </w:pPr>
    </w:p>
    <w:p w14:paraId="4323D225" w14:textId="4C58F1B0" w:rsidR="00A40E5E" w:rsidRPr="00D9586A" w:rsidRDefault="00D42444" w:rsidP="00754AAB">
      <w:pPr>
        <w:pStyle w:val="Heading2"/>
        <w:spacing w:before="0" w:line="360" w:lineRule="auto"/>
        <w:jc w:val="left"/>
        <w:rPr>
          <w:rFonts w:ascii="Arial" w:hAnsi="Arial" w:cs="Arial"/>
          <w:b/>
          <w:color w:val="auto"/>
          <w:sz w:val="20"/>
          <w:szCs w:val="20"/>
        </w:rPr>
      </w:pPr>
      <w:bookmarkStart w:id="616" w:name="_Toc347120500"/>
      <w:bookmarkStart w:id="617" w:name="_Toc188257194"/>
      <w:bookmarkStart w:id="618" w:name="_Toc188257409"/>
      <w:bookmarkStart w:id="619" w:name="_Toc188257633"/>
      <w:bookmarkStart w:id="620" w:name="_Toc189162643"/>
      <w:r>
        <w:rPr>
          <w:rFonts w:ascii="Arial" w:hAnsi="Arial" w:cs="Arial"/>
          <w:b/>
          <w:color w:val="auto"/>
          <w:sz w:val="20"/>
          <w:szCs w:val="20"/>
        </w:rPr>
        <w:t>10</w:t>
      </w:r>
      <w:r w:rsidR="00A75934">
        <w:rPr>
          <w:rFonts w:ascii="Arial" w:hAnsi="Arial" w:cs="Arial"/>
          <w:b/>
          <w:color w:val="auto"/>
          <w:sz w:val="20"/>
          <w:szCs w:val="20"/>
        </w:rPr>
        <w:t>.5.</w:t>
      </w:r>
      <w:r w:rsidR="00C85266">
        <w:rPr>
          <w:rFonts w:ascii="Arial" w:hAnsi="Arial" w:cs="Arial"/>
          <w:b/>
          <w:color w:val="auto"/>
          <w:sz w:val="20"/>
          <w:szCs w:val="20"/>
        </w:rPr>
        <w:t>4</w:t>
      </w:r>
      <w:r w:rsidR="00A40E5E" w:rsidRPr="00D9586A">
        <w:rPr>
          <w:rFonts w:ascii="Arial" w:hAnsi="Arial" w:cs="Arial"/>
          <w:b/>
          <w:color w:val="auto"/>
          <w:sz w:val="20"/>
          <w:szCs w:val="20"/>
        </w:rPr>
        <w:tab/>
        <w:t>Analysis</w:t>
      </w:r>
      <w:bookmarkEnd w:id="616"/>
      <w:bookmarkEnd w:id="617"/>
      <w:bookmarkEnd w:id="618"/>
      <w:bookmarkEnd w:id="619"/>
      <w:bookmarkEnd w:id="620"/>
    </w:p>
    <w:p w14:paraId="66CB5ABC" w14:textId="77777777" w:rsidR="00DB274A" w:rsidRPr="003A3426" w:rsidRDefault="00DB274A" w:rsidP="00A40E5E">
      <w:pPr>
        <w:jc w:val="left"/>
      </w:pPr>
    </w:p>
    <w:p w14:paraId="02DFE67B" w14:textId="092A121A" w:rsidR="00A40E5E" w:rsidRPr="00DB274A" w:rsidRDefault="00670189" w:rsidP="00DB274A">
      <w:pPr>
        <w:jc w:val="left"/>
        <w:rPr>
          <w:sz w:val="18"/>
          <w:szCs w:val="18"/>
        </w:rPr>
      </w:pPr>
      <w:bookmarkStart w:id="621" w:name="_Toc347120501"/>
      <w:r>
        <w:rPr>
          <w:sz w:val="18"/>
          <w:szCs w:val="18"/>
        </w:rPr>
        <w:t>10</w:t>
      </w:r>
      <w:r w:rsidR="00A40E5E" w:rsidRPr="00DB274A">
        <w:rPr>
          <w:sz w:val="18"/>
          <w:szCs w:val="18"/>
        </w:rPr>
        <w:t>.5.</w:t>
      </w:r>
      <w:r w:rsidR="00C85266" w:rsidRPr="00DB274A">
        <w:rPr>
          <w:sz w:val="18"/>
          <w:szCs w:val="18"/>
        </w:rPr>
        <w:t>4</w:t>
      </w:r>
      <w:r w:rsidR="00A40E5E" w:rsidRPr="00DB274A">
        <w:rPr>
          <w:sz w:val="18"/>
          <w:szCs w:val="18"/>
        </w:rPr>
        <w:t>.1 Regulatory Requirements</w:t>
      </w:r>
      <w:bookmarkEnd w:id="621"/>
    </w:p>
    <w:p w14:paraId="6299BB3F" w14:textId="77777777" w:rsidR="00D9586A" w:rsidRDefault="00D9586A" w:rsidP="00A40E5E">
      <w:pPr>
        <w:pStyle w:val="BodyText"/>
      </w:pPr>
    </w:p>
    <w:p w14:paraId="3EB1536E" w14:textId="77777777" w:rsidR="00A40E5E" w:rsidRPr="00D9586A" w:rsidRDefault="00A40E5E" w:rsidP="00736EBB">
      <w:pPr>
        <w:pStyle w:val="BodyText"/>
        <w:spacing w:after="0" w:line="360" w:lineRule="auto"/>
        <w:jc w:val="both"/>
        <w:rPr>
          <w:b w:val="0"/>
        </w:rPr>
      </w:pPr>
      <w:r w:rsidRPr="00D9586A">
        <w:rPr>
          <w:b w:val="0"/>
        </w:rPr>
        <w:t>Commission Rule 515-3-4 ha</w:t>
      </w:r>
      <w:r w:rsidR="00A75934">
        <w:rPr>
          <w:b w:val="0"/>
        </w:rPr>
        <w:t>s</w:t>
      </w:r>
      <w:r w:rsidRPr="00D9586A">
        <w:rPr>
          <w:b w:val="0"/>
        </w:rPr>
        <w:t xml:space="preserve"> the following requirements that will continue to be met through analysis of data collected in the preceding described research projects and/or review of existing currently available data from other sources:</w:t>
      </w:r>
    </w:p>
    <w:p w14:paraId="33DA70E3" w14:textId="77777777" w:rsidR="00A40E5E" w:rsidRPr="00D9586A" w:rsidRDefault="00A40E5E" w:rsidP="00736EBB">
      <w:pPr>
        <w:pStyle w:val="BodyText"/>
        <w:spacing w:after="0" w:line="360" w:lineRule="auto"/>
        <w:jc w:val="both"/>
        <w:rPr>
          <w:b w:val="0"/>
        </w:rPr>
      </w:pPr>
    </w:p>
    <w:p w14:paraId="5E298AB5" w14:textId="77777777" w:rsidR="00A40E5E" w:rsidRPr="00D9586A" w:rsidRDefault="00A40E5E" w:rsidP="00736EBB">
      <w:pPr>
        <w:pStyle w:val="BodyText"/>
        <w:spacing w:after="0" w:line="360" w:lineRule="auto"/>
        <w:jc w:val="both"/>
        <w:rPr>
          <w:b w:val="0"/>
        </w:rPr>
      </w:pPr>
      <w:r w:rsidRPr="00D9586A">
        <w:rPr>
          <w:b w:val="0"/>
        </w:rPr>
        <w:t>Development of a data base of electricity consumption patterns by customer class and end use. (</w:t>
      </w:r>
      <w:r w:rsidR="00A75934">
        <w:rPr>
          <w:b w:val="0"/>
        </w:rPr>
        <w:t>Commission Rule</w:t>
      </w:r>
      <w:r w:rsidRPr="00D9586A">
        <w:rPr>
          <w:b w:val="0"/>
        </w:rPr>
        <w:t xml:space="preserve"> 515-3-4-.03 (3) (c))</w:t>
      </w:r>
    </w:p>
    <w:p w14:paraId="7ABB1E36" w14:textId="77777777" w:rsidR="00A40E5E" w:rsidRPr="003A3426" w:rsidRDefault="00A40E5E" w:rsidP="00A40E5E"/>
    <w:p w14:paraId="50258C6F" w14:textId="77777777" w:rsidR="00DB274A" w:rsidRDefault="00DB274A" w:rsidP="00DB274A">
      <w:pPr>
        <w:jc w:val="left"/>
        <w:rPr>
          <w:sz w:val="18"/>
          <w:szCs w:val="18"/>
        </w:rPr>
      </w:pPr>
      <w:bookmarkStart w:id="622" w:name="_Toc347120502"/>
    </w:p>
    <w:p w14:paraId="7783035C" w14:textId="6DA836D1" w:rsidR="00A40E5E" w:rsidRPr="00D9586A" w:rsidRDefault="00670189" w:rsidP="00DB274A">
      <w:pPr>
        <w:jc w:val="left"/>
        <w:rPr>
          <w:sz w:val="18"/>
          <w:szCs w:val="18"/>
        </w:rPr>
      </w:pPr>
      <w:r>
        <w:rPr>
          <w:sz w:val="18"/>
          <w:szCs w:val="18"/>
        </w:rPr>
        <w:t>10</w:t>
      </w:r>
      <w:r w:rsidR="00A75934">
        <w:rPr>
          <w:sz w:val="18"/>
          <w:szCs w:val="18"/>
        </w:rPr>
        <w:t>.5.</w:t>
      </w:r>
      <w:r w:rsidR="00C85266">
        <w:rPr>
          <w:sz w:val="18"/>
          <w:szCs w:val="18"/>
        </w:rPr>
        <w:t>4</w:t>
      </w:r>
      <w:r w:rsidR="00A40E5E" w:rsidRPr="00D9586A">
        <w:rPr>
          <w:sz w:val="18"/>
          <w:szCs w:val="18"/>
        </w:rPr>
        <w:t>.2 Analysis Projects</w:t>
      </w:r>
      <w:bookmarkEnd w:id="622"/>
    </w:p>
    <w:p w14:paraId="7824E976" w14:textId="77777777" w:rsidR="00A40E5E" w:rsidRPr="00573B68" w:rsidRDefault="00A40E5E" w:rsidP="00573B68">
      <w:pPr>
        <w:rPr>
          <w:sz w:val="28"/>
          <w:szCs w:val="28"/>
        </w:rPr>
      </w:pPr>
    </w:p>
    <w:p w14:paraId="3B1D5C9D" w14:textId="67E1E3BD" w:rsidR="00A40E5E" w:rsidRPr="008E59D0" w:rsidRDefault="00670189" w:rsidP="008E59D0">
      <w:pPr>
        <w:jc w:val="left"/>
        <w:rPr>
          <w:b w:val="0"/>
          <w:bCs/>
          <w:i/>
          <w:iCs/>
          <w:sz w:val="18"/>
          <w:szCs w:val="18"/>
        </w:rPr>
      </w:pPr>
      <w:bookmarkStart w:id="623" w:name="_Toc347120503"/>
      <w:r>
        <w:rPr>
          <w:b w:val="0"/>
          <w:bCs/>
          <w:i/>
          <w:iCs/>
          <w:sz w:val="18"/>
          <w:szCs w:val="18"/>
        </w:rPr>
        <w:t>10</w:t>
      </w:r>
      <w:r w:rsidR="00A40E5E" w:rsidRPr="008E59D0">
        <w:rPr>
          <w:b w:val="0"/>
          <w:bCs/>
          <w:i/>
          <w:iCs/>
          <w:sz w:val="18"/>
          <w:szCs w:val="18"/>
        </w:rPr>
        <w:t>.5.</w:t>
      </w:r>
      <w:r w:rsidR="00C85266" w:rsidRPr="008E59D0">
        <w:rPr>
          <w:b w:val="0"/>
          <w:bCs/>
          <w:i/>
          <w:iCs/>
          <w:sz w:val="18"/>
          <w:szCs w:val="18"/>
        </w:rPr>
        <w:t>4</w:t>
      </w:r>
      <w:r w:rsidR="00A40E5E" w:rsidRPr="008E59D0">
        <w:rPr>
          <w:b w:val="0"/>
          <w:bCs/>
          <w:i/>
          <w:iCs/>
          <w:sz w:val="18"/>
          <w:szCs w:val="18"/>
        </w:rPr>
        <w:t>.2-1 End</w:t>
      </w:r>
      <w:r w:rsidR="00442E1D" w:rsidRPr="008E59D0">
        <w:rPr>
          <w:b w:val="0"/>
          <w:bCs/>
          <w:i/>
          <w:iCs/>
          <w:sz w:val="18"/>
          <w:szCs w:val="18"/>
        </w:rPr>
        <w:t>-</w:t>
      </w:r>
      <w:r w:rsidR="00A40E5E" w:rsidRPr="008E59D0">
        <w:rPr>
          <w:b w:val="0"/>
          <w:bCs/>
          <w:i/>
          <w:iCs/>
          <w:sz w:val="18"/>
          <w:szCs w:val="18"/>
        </w:rPr>
        <w:t>Use Load Shape Catalog</w:t>
      </w:r>
      <w:bookmarkEnd w:id="623"/>
    </w:p>
    <w:p w14:paraId="7076B98A" w14:textId="77777777" w:rsidR="00D9586A" w:rsidRDefault="00D9586A" w:rsidP="00A40E5E">
      <w:pPr>
        <w:pStyle w:val="BodyText"/>
      </w:pPr>
    </w:p>
    <w:p w14:paraId="2A5506A5" w14:textId="0CB5BDBA" w:rsidR="00CD49B2" w:rsidRPr="00CD49B2" w:rsidRDefault="00CD49B2" w:rsidP="00053CBD">
      <w:pPr>
        <w:spacing w:line="360" w:lineRule="auto"/>
        <w:jc w:val="both"/>
        <w:rPr>
          <w:rFonts w:ascii="Calibri" w:hAnsi="Calibri" w:cs="Calibri"/>
          <w:b w:val="0"/>
        </w:rPr>
      </w:pPr>
      <w:r w:rsidRPr="00C85266">
        <w:rPr>
          <w:b w:val="0"/>
        </w:rPr>
        <w:t xml:space="preserve">Georgia Power, in support of the development of the technical potential study, develops a catalog of end-use load profiles. These profiles are based on engineering studies that are supplemented with the best available internal and external end-use load research. Additionally, Georgia </w:t>
      </w:r>
      <w:r w:rsidR="0005125C">
        <w:rPr>
          <w:b w:val="0"/>
        </w:rPr>
        <w:t xml:space="preserve">Power </w:t>
      </w:r>
      <w:r w:rsidRPr="00C85266">
        <w:rPr>
          <w:b w:val="0"/>
        </w:rPr>
        <w:t>conducts an annual rate and class load research study that is used in the Company’s cost of service studies and forecasts.</w:t>
      </w:r>
    </w:p>
    <w:p w14:paraId="1AECBC50" w14:textId="77777777" w:rsidR="00CD49B2" w:rsidRPr="00C85266" w:rsidRDefault="00CD49B2" w:rsidP="00053CBD">
      <w:pPr>
        <w:spacing w:line="360" w:lineRule="auto"/>
        <w:jc w:val="both"/>
        <w:rPr>
          <w:b w:val="0"/>
        </w:rPr>
      </w:pPr>
    </w:p>
    <w:p w14:paraId="15B8E06A" w14:textId="66ED2E2F" w:rsidR="00A40E5E" w:rsidRPr="00D9586A" w:rsidRDefault="00CD49B2" w:rsidP="00053CBD">
      <w:pPr>
        <w:pStyle w:val="BodyText"/>
        <w:spacing w:after="0" w:line="360" w:lineRule="auto"/>
        <w:jc w:val="both"/>
        <w:rPr>
          <w:b w:val="0"/>
        </w:rPr>
      </w:pPr>
      <w:r w:rsidRPr="00C85266">
        <w:rPr>
          <w:b w:val="0"/>
        </w:rPr>
        <w:t>Going forward Georgia Power plans to continue to update the end use load catalog as needed to support future Technical Potential Studies and continue its annual load research program at the rate and class level.</w:t>
      </w:r>
      <w:r w:rsidRPr="00CD49B2" w:rsidDel="00CD49B2">
        <w:rPr>
          <w:b w:val="0"/>
        </w:rPr>
        <w:t xml:space="preserve"> </w:t>
      </w:r>
    </w:p>
    <w:p w14:paraId="0C29F57B" w14:textId="77777777" w:rsidR="008E59D0" w:rsidRPr="008E59D0" w:rsidRDefault="008E59D0" w:rsidP="008E59D0">
      <w:pPr>
        <w:jc w:val="left"/>
        <w:rPr>
          <w:b w:val="0"/>
          <w:bCs/>
          <w:sz w:val="18"/>
          <w:szCs w:val="18"/>
        </w:rPr>
      </w:pPr>
      <w:bookmarkStart w:id="624" w:name="_Toc347120504"/>
    </w:p>
    <w:p w14:paraId="5EF80609" w14:textId="77777777" w:rsidR="008E59D0" w:rsidRPr="008E59D0" w:rsidRDefault="008E59D0" w:rsidP="008E59D0">
      <w:pPr>
        <w:jc w:val="left"/>
        <w:rPr>
          <w:b w:val="0"/>
          <w:bCs/>
          <w:sz w:val="18"/>
          <w:szCs w:val="18"/>
        </w:rPr>
      </w:pPr>
    </w:p>
    <w:p w14:paraId="624567A9" w14:textId="4F37456A" w:rsidR="00A40E5E" w:rsidRPr="008E59D0" w:rsidRDefault="00670189" w:rsidP="008E59D0">
      <w:pPr>
        <w:jc w:val="left"/>
        <w:rPr>
          <w:b w:val="0"/>
          <w:bCs/>
          <w:i/>
          <w:iCs/>
          <w:sz w:val="18"/>
          <w:szCs w:val="18"/>
        </w:rPr>
      </w:pPr>
      <w:r>
        <w:rPr>
          <w:b w:val="0"/>
          <w:bCs/>
          <w:i/>
          <w:iCs/>
          <w:sz w:val="18"/>
          <w:szCs w:val="18"/>
        </w:rPr>
        <w:t>10</w:t>
      </w:r>
      <w:r w:rsidR="00A40E5E" w:rsidRPr="008E59D0">
        <w:rPr>
          <w:b w:val="0"/>
          <w:bCs/>
          <w:i/>
          <w:iCs/>
          <w:sz w:val="18"/>
          <w:szCs w:val="18"/>
        </w:rPr>
        <w:t>.5.</w:t>
      </w:r>
      <w:r w:rsidR="00C85266" w:rsidRPr="008E59D0">
        <w:rPr>
          <w:b w:val="0"/>
          <w:bCs/>
          <w:i/>
          <w:iCs/>
          <w:sz w:val="18"/>
          <w:szCs w:val="18"/>
        </w:rPr>
        <w:t>4</w:t>
      </w:r>
      <w:r w:rsidR="00442E1D" w:rsidRPr="008E59D0">
        <w:rPr>
          <w:b w:val="0"/>
          <w:bCs/>
          <w:i/>
          <w:iCs/>
          <w:sz w:val="18"/>
          <w:szCs w:val="18"/>
        </w:rPr>
        <w:t>.2-2 End-</w:t>
      </w:r>
      <w:r w:rsidR="00A40E5E" w:rsidRPr="008E59D0">
        <w:rPr>
          <w:b w:val="0"/>
          <w:bCs/>
          <w:i/>
          <w:iCs/>
          <w:sz w:val="18"/>
          <w:szCs w:val="18"/>
        </w:rPr>
        <w:t>Use Load Shape Modeling</w:t>
      </w:r>
      <w:bookmarkEnd w:id="624"/>
    </w:p>
    <w:p w14:paraId="1BA6A486" w14:textId="77777777" w:rsidR="00D9586A" w:rsidRDefault="00D9586A" w:rsidP="00A40E5E">
      <w:pPr>
        <w:pStyle w:val="BodyText"/>
      </w:pPr>
    </w:p>
    <w:p w14:paraId="63027242" w14:textId="290D3438" w:rsidR="00A40E5E" w:rsidRPr="00D9586A" w:rsidRDefault="005F2DC4" w:rsidP="00262E1C">
      <w:pPr>
        <w:pStyle w:val="BodyText"/>
        <w:spacing w:line="360" w:lineRule="auto"/>
        <w:jc w:val="both"/>
        <w:rPr>
          <w:b w:val="0"/>
        </w:rPr>
      </w:pPr>
      <w:r w:rsidRPr="00C85266">
        <w:rPr>
          <w:b w:val="0"/>
        </w:rPr>
        <w:t xml:space="preserve">An </w:t>
      </w:r>
      <w:r w:rsidR="00560AEB">
        <w:rPr>
          <w:b w:val="0"/>
        </w:rPr>
        <w:t>e</w:t>
      </w:r>
      <w:r w:rsidRPr="00C85266">
        <w:rPr>
          <w:b w:val="0"/>
        </w:rPr>
        <w:t xml:space="preserve">nergy </w:t>
      </w:r>
      <w:r w:rsidR="00560AEB">
        <w:rPr>
          <w:b w:val="0"/>
        </w:rPr>
        <w:t>s</w:t>
      </w:r>
      <w:r w:rsidRPr="00C85266">
        <w:rPr>
          <w:b w:val="0"/>
        </w:rPr>
        <w:t>imulation tool is being used to develop end-use and total premise load shapes based on both previously collected empirical data and engineering simulation. It is an engineering-based simulation tool that enables the user to develop energy use profiles and load shapes for various building types and energy system combinations.</w:t>
      </w:r>
      <w:r w:rsidR="00616255">
        <w:rPr>
          <w:b w:val="0"/>
        </w:rPr>
        <w:t xml:space="preserve"> </w:t>
      </w:r>
    </w:p>
    <w:bookmarkEnd w:id="586"/>
    <w:bookmarkEnd w:id="587"/>
    <w:bookmarkEnd w:id="588"/>
    <w:p w14:paraId="6FE6360D" w14:textId="77777777" w:rsidR="00A40E5E" w:rsidRPr="003A3426" w:rsidRDefault="00A40E5E" w:rsidP="00A40E5E">
      <w:pPr>
        <w:pStyle w:val="BodyText"/>
      </w:pPr>
    </w:p>
    <w:p w14:paraId="6DB47606" w14:textId="77777777" w:rsidR="00A40E5E" w:rsidRPr="003A3426" w:rsidRDefault="00A40E5E" w:rsidP="00A40E5E">
      <w:pPr>
        <w:pStyle w:val="BodyText"/>
        <w:sectPr w:rsidR="00A40E5E" w:rsidRPr="003A3426" w:rsidSect="00966D80">
          <w:footerReference w:type="default" r:id="rId139"/>
          <w:pgSz w:w="12240" w:h="15840"/>
          <w:pgMar w:top="1440" w:right="1440" w:bottom="1440" w:left="1440" w:header="720" w:footer="720" w:gutter="0"/>
          <w:cols w:space="720"/>
          <w:docGrid w:linePitch="273"/>
        </w:sectPr>
      </w:pPr>
    </w:p>
    <w:p w14:paraId="3F20B433" w14:textId="6198244C" w:rsidR="00A40E5E" w:rsidRPr="00C92DC1" w:rsidRDefault="004056A0" w:rsidP="00A40E5E">
      <w:pPr>
        <w:pStyle w:val="Heading1"/>
        <w:jc w:val="left"/>
        <w:rPr>
          <w:rFonts w:ascii="Arial" w:hAnsi="Arial" w:cs="Arial"/>
          <w:b/>
          <w:bCs w:val="0"/>
          <w:color w:val="FF0000"/>
        </w:rPr>
      </w:pPr>
      <w:bookmarkStart w:id="625" w:name="_Toc347120505"/>
      <w:bookmarkStart w:id="626" w:name="_Toc188257195"/>
      <w:bookmarkStart w:id="627" w:name="_Toc188257410"/>
      <w:bookmarkStart w:id="628" w:name="_Toc188257634"/>
      <w:bookmarkStart w:id="629" w:name="_Toc189162644"/>
      <w:r>
        <w:rPr>
          <w:rFonts w:ascii="Arial" w:hAnsi="Arial" w:cs="Arial"/>
          <w:b/>
          <w:bCs w:val="0"/>
          <w:color w:val="auto"/>
        </w:rPr>
        <w:lastRenderedPageBreak/>
        <w:t>11</w:t>
      </w:r>
      <w:r w:rsidR="00A40E5E" w:rsidRPr="00D9586A">
        <w:rPr>
          <w:rFonts w:ascii="Arial" w:hAnsi="Arial" w:cs="Arial"/>
          <w:b/>
          <w:bCs w:val="0"/>
          <w:color w:val="auto"/>
        </w:rPr>
        <w:t>.0 ACRONYM &amp; ABBREVIATION GLOSSARY</w:t>
      </w:r>
      <w:bookmarkEnd w:id="625"/>
      <w:bookmarkEnd w:id="626"/>
      <w:bookmarkEnd w:id="627"/>
      <w:bookmarkEnd w:id="628"/>
      <w:bookmarkEnd w:id="629"/>
    </w:p>
    <w:p w14:paraId="4E339C0F" w14:textId="2CF6D194" w:rsidR="00A11A32" w:rsidRDefault="00A11A32" w:rsidP="00A11A32"/>
    <w:p w14:paraId="3202474D" w14:textId="1C761EA1" w:rsidR="00A11A32" w:rsidRDefault="00A11A32" w:rsidP="00A11A32"/>
    <w:p w14:paraId="64ADD148" w14:textId="77777777" w:rsidR="00013145" w:rsidRPr="00013145" w:rsidRDefault="00013145" w:rsidP="00013145"/>
    <w:tbl>
      <w:tblPr>
        <w:tblW w:w="0" w:type="auto"/>
        <w:tblLayout w:type="fixed"/>
        <w:tblCellMar>
          <w:left w:w="30" w:type="dxa"/>
          <w:right w:w="30" w:type="dxa"/>
        </w:tblCellMar>
        <w:tblLook w:val="0000" w:firstRow="0" w:lastRow="0" w:firstColumn="0" w:lastColumn="0" w:noHBand="0" w:noVBand="0"/>
      </w:tblPr>
      <w:tblGrid>
        <w:gridCol w:w="2152"/>
        <w:gridCol w:w="5449"/>
      </w:tblGrid>
      <w:tr w:rsidR="00A40E5E" w:rsidRPr="003A3426" w14:paraId="31EEA948" w14:textId="77777777" w:rsidTr="00775830">
        <w:trPr>
          <w:trHeight w:val="348"/>
        </w:trPr>
        <w:tc>
          <w:tcPr>
            <w:tcW w:w="2152"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7B429F4E" w14:textId="77777777" w:rsidR="00A40E5E" w:rsidRPr="003A3426" w:rsidRDefault="00A40E5E" w:rsidP="00966D80">
            <w:pPr>
              <w:rPr>
                <w:snapToGrid w:val="0"/>
              </w:rPr>
            </w:pPr>
            <w:r w:rsidRPr="003A3426">
              <w:rPr>
                <w:snapToGrid w:val="0"/>
              </w:rPr>
              <w:t>Acronym</w:t>
            </w:r>
          </w:p>
        </w:tc>
        <w:tc>
          <w:tcPr>
            <w:tcW w:w="5449"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45E65F9B" w14:textId="77777777" w:rsidR="00A40E5E" w:rsidRPr="003A3426" w:rsidRDefault="00A40E5E" w:rsidP="00966D80">
            <w:pPr>
              <w:rPr>
                <w:snapToGrid w:val="0"/>
              </w:rPr>
            </w:pPr>
            <w:r w:rsidRPr="003A3426">
              <w:rPr>
                <w:snapToGrid w:val="0"/>
              </w:rPr>
              <w:t>Definition</w:t>
            </w:r>
          </w:p>
        </w:tc>
      </w:tr>
      <w:tr w:rsidR="00601A7C" w:rsidRPr="003A3426" w14:paraId="7F6F4C3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C928008" w14:textId="6DD7BBD2" w:rsidR="00601A7C" w:rsidRPr="003A3426" w:rsidRDefault="00426C78" w:rsidP="008D0BFF">
            <w:pPr>
              <w:jc w:val="left"/>
              <w:rPr>
                <w:snapToGrid w:val="0"/>
              </w:rPr>
            </w:pPr>
            <w:r>
              <w:rPr>
                <w:snapToGrid w:val="0"/>
              </w:rPr>
              <w:t>2023 IRP Update</w:t>
            </w:r>
          </w:p>
        </w:tc>
        <w:tc>
          <w:tcPr>
            <w:tcW w:w="5449" w:type="dxa"/>
            <w:tcBorders>
              <w:top w:val="single" w:sz="6" w:space="0" w:color="auto"/>
              <w:left w:val="single" w:sz="6" w:space="0" w:color="auto"/>
              <w:bottom w:val="single" w:sz="6" w:space="0" w:color="auto"/>
              <w:right w:val="single" w:sz="6" w:space="0" w:color="auto"/>
            </w:tcBorders>
          </w:tcPr>
          <w:p w14:paraId="1B469FDB" w14:textId="79950FAB" w:rsidR="00601A7C" w:rsidRPr="00426C78" w:rsidRDefault="00426C78" w:rsidP="008D0BFF">
            <w:pPr>
              <w:jc w:val="left"/>
              <w:rPr>
                <w:snapToGrid w:val="0"/>
              </w:rPr>
            </w:pPr>
            <w:r w:rsidRPr="00426C78">
              <w:t>2023 IRP Update Load Forecast</w:t>
            </w:r>
          </w:p>
        </w:tc>
      </w:tr>
      <w:tr w:rsidR="00A40E5E" w:rsidRPr="003A3426" w14:paraId="3061B06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2BE0FF2E" w14:textId="77777777" w:rsidR="00A40E5E" w:rsidRPr="003A3426" w:rsidRDefault="00A40E5E" w:rsidP="008D0BFF">
            <w:pPr>
              <w:jc w:val="left"/>
              <w:rPr>
                <w:snapToGrid w:val="0"/>
              </w:rPr>
            </w:pPr>
            <w:r w:rsidRPr="003A3426">
              <w:rPr>
                <w:snapToGrid w:val="0"/>
              </w:rPr>
              <w:t>AAGR</w:t>
            </w:r>
          </w:p>
        </w:tc>
        <w:tc>
          <w:tcPr>
            <w:tcW w:w="5449" w:type="dxa"/>
            <w:tcBorders>
              <w:top w:val="single" w:sz="6" w:space="0" w:color="auto"/>
              <w:left w:val="single" w:sz="6" w:space="0" w:color="auto"/>
              <w:bottom w:val="single" w:sz="6" w:space="0" w:color="auto"/>
              <w:right w:val="single" w:sz="6" w:space="0" w:color="auto"/>
            </w:tcBorders>
          </w:tcPr>
          <w:p w14:paraId="71AA613F" w14:textId="77777777" w:rsidR="00A40E5E" w:rsidRPr="003A3426" w:rsidRDefault="00A40E5E" w:rsidP="008D0BFF">
            <w:pPr>
              <w:jc w:val="left"/>
              <w:rPr>
                <w:snapToGrid w:val="0"/>
              </w:rPr>
            </w:pPr>
            <w:r w:rsidRPr="003A3426">
              <w:rPr>
                <w:snapToGrid w:val="0"/>
              </w:rPr>
              <w:t>Average Annual Growth Rate</w:t>
            </w:r>
          </w:p>
        </w:tc>
      </w:tr>
      <w:tr w:rsidR="002A74A0" w:rsidRPr="003A3426" w14:paraId="6BD7241D"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2EB9962B" w14:textId="724D9BB9" w:rsidR="002A74A0" w:rsidRPr="003A3426" w:rsidRDefault="002A74A0" w:rsidP="002A74A0">
            <w:pPr>
              <w:jc w:val="left"/>
              <w:rPr>
                <w:snapToGrid w:val="0"/>
              </w:rPr>
            </w:pPr>
            <w:r>
              <w:rPr>
                <w:snapToGrid w:val="0"/>
              </w:rPr>
              <w:t>AEG</w:t>
            </w:r>
          </w:p>
        </w:tc>
        <w:tc>
          <w:tcPr>
            <w:tcW w:w="5449" w:type="dxa"/>
            <w:tcBorders>
              <w:top w:val="single" w:sz="6" w:space="0" w:color="auto"/>
              <w:left w:val="single" w:sz="6" w:space="0" w:color="auto"/>
              <w:bottom w:val="single" w:sz="6" w:space="0" w:color="auto"/>
              <w:right w:val="single" w:sz="6" w:space="0" w:color="auto"/>
            </w:tcBorders>
          </w:tcPr>
          <w:p w14:paraId="20C2CA49" w14:textId="265BF11C" w:rsidR="002A74A0" w:rsidRPr="003A3426" w:rsidRDefault="002A74A0" w:rsidP="002A74A0">
            <w:pPr>
              <w:jc w:val="left"/>
              <w:rPr>
                <w:snapToGrid w:val="0"/>
              </w:rPr>
            </w:pPr>
            <w:r>
              <w:rPr>
                <w:snapToGrid w:val="0"/>
              </w:rPr>
              <w:t>Applied Energy Group</w:t>
            </w:r>
          </w:p>
        </w:tc>
      </w:tr>
      <w:tr w:rsidR="002A74A0" w:rsidRPr="003A3426" w14:paraId="2B9E2E58"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03C969C1" w14:textId="303D7E0A" w:rsidR="002A74A0" w:rsidRDefault="002A74A0" w:rsidP="002A74A0">
            <w:pPr>
              <w:jc w:val="left"/>
              <w:rPr>
                <w:snapToGrid w:val="0"/>
              </w:rPr>
            </w:pPr>
            <w:r>
              <w:rPr>
                <w:snapToGrid w:val="0"/>
              </w:rPr>
              <w:t>AEO</w:t>
            </w:r>
          </w:p>
        </w:tc>
        <w:tc>
          <w:tcPr>
            <w:tcW w:w="5449" w:type="dxa"/>
            <w:tcBorders>
              <w:top w:val="single" w:sz="6" w:space="0" w:color="auto"/>
              <w:left w:val="single" w:sz="6" w:space="0" w:color="auto"/>
              <w:bottom w:val="single" w:sz="6" w:space="0" w:color="auto"/>
              <w:right w:val="single" w:sz="6" w:space="0" w:color="auto"/>
            </w:tcBorders>
          </w:tcPr>
          <w:p w14:paraId="60EAD299" w14:textId="42190852" w:rsidR="002A74A0" w:rsidRDefault="002A74A0" w:rsidP="002A74A0">
            <w:pPr>
              <w:jc w:val="left"/>
              <w:rPr>
                <w:snapToGrid w:val="0"/>
              </w:rPr>
            </w:pPr>
            <w:r>
              <w:rPr>
                <w:snapToGrid w:val="0"/>
              </w:rPr>
              <w:t>Annual Energy Outlook</w:t>
            </w:r>
          </w:p>
        </w:tc>
      </w:tr>
      <w:tr w:rsidR="00F704C0" w:rsidRPr="003A3426" w14:paraId="4F93506D"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4C6D18DF" w14:textId="220FEAFF" w:rsidR="00F704C0" w:rsidRDefault="00F704C0" w:rsidP="002A74A0">
            <w:pPr>
              <w:jc w:val="left"/>
              <w:rPr>
                <w:snapToGrid w:val="0"/>
              </w:rPr>
            </w:pPr>
            <w:r>
              <w:rPr>
                <w:snapToGrid w:val="0"/>
              </w:rPr>
              <w:t>B2025</w:t>
            </w:r>
          </w:p>
        </w:tc>
        <w:tc>
          <w:tcPr>
            <w:tcW w:w="5449" w:type="dxa"/>
            <w:tcBorders>
              <w:top w:val="single" w:sz="6" w:space="0" w:color="auto"/>
              <w:left w:val="single" w:sz="6" w:space="0" w:color="auto"/>
              <w:bottom w:val="single" w:sz="6" w:space="0" w:color="auto"/>
              <w:right w:val="single" w:sz="6" w:space="0" w:color="auto"/>
            </w:tcBorders>
          </w:tcPr>
          <w:p w14:paraId="10600B04" w14:textId="3DA26789" w:rsidR="00F704C0" w:rsidRDefault="00F704C0" w:rsidP="002A74A0">
            <w:pPr>
              <w:jc w:val="left"/>
              <w:rPr>
                <w:snapToGrid w:val="0"/>
              </w:rPr>
            </w:pPr>
            <w:r w:rsidRPr="007000DA">
              <w:t>Budget 20</w:t>
            </w:r>
            <w:r>
              <w:t>25</w:t>
            </w:r>
            <w:r w:rsidRPr="007000DA">
              <w:t xml:space="preserve"> Load and Energy Forecast</w:t>
            </w:r>
          </w:p>
        </w:tc>
      </w:tr>
      <w:tr w:rsidR="002A74A0" w:rsidRPr="003A3426" w14:paraId="65823B40"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7A60488" w14:textId="47C5A99C" w:rsidR="002A74A0" w:rsidRPr="003A3426" w:rsidRDefault="002A74A0" w:rsidP="002A74A0">
            <w:pPr>
              <w:jc w:val="left"/>
              <w:rPr>
                <w:snapToGrid w:val="0"/>
              </w:rPr>
            </w:pPr>
            <w:r>
              <w:rPr>
                <w:snapToGrid w:val="0"/>
              </w:rPr>
              <w:t>BTM</w:t>
            </w:r>
          </w:p>
        </w:tc>
        <w:tc>
          <w:tcPr>
            <w:tcW w:w="5449" w:type="dxa"/>
            <w:tcBorders>
              <w:top w:val="single" w:sz="6" w:space="0" w:color="auto"/>
              <w:left w:val="single" w:sz="6" w:space="0" w:color="auto"/>
              <w:bottom w:val="single" w:sz="6" w:space="0" w:color="auto"/>
              <w:right w:val="single" w:sz="6" w:space="0" w:color="auto"/>
            </w:tcBorders>
          </w:tcPr>
          <w:p w14:paraId="3708BE88" w14:textId="7B3574F8" w:rsidR="002A74A0" w:rsidRPr="003A3426" w:rsidRDefault="002A74A0" w:rsidP="002A74A0">
            <w:pPr>
              <w:jc w:val="left"/>
              <w:rPr>
                <w:snapToGrid w:val="0"/>
              </w:rPr>
            </w:pPr>
            <w:r>
              <w:rPr>
                <w:snapToGrid w:val="0"/>
              </w:rPr>
              <w:t>Behind-The-Meter</w:t>
            </w:r>
          </w:p>
        </w:tc>
      </w:tr>
      <w:tr w:rsidR="002A74A0" w:rsidRPr="003A3426" w14:paraId="01128319"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37916552" w14:textId="77777777" w:rsidR="002A74A0" w:rsidRPr="003A3426" w:rsidRDefault="002A74A0" w:rsidP="002A74A0">
            <w:pPr>
              <w:jc w:val="left"/>
              <w:rPr>
                <w:snapToGrid w:val="0"/>
              </w:rPr>
            </w:pPr>
            <w:r w:rsidRPr="003A3426">
              <w:rPr>
                <w:snapToGrid w:val="0"/>
              </w:rPr>
              <w:t>BTU</w:t>
            </w:r>
          </w:p>
        </w:tc>
        <w:tc>
          <w:tcPr>
            <w:tcW w:w="5449" w:type="dxa"/>
            <w:tcBorders>
              <w:top w:val="single" w:sz="6" w:space="0" w:color="auto"/>
              <w:left w:val="single" w:sz="6" w:space="0" w:color="auto"/>
              <w:bottom w:val="single" w:sz="6" w:space="0" w:color="auto"/>
              <w:right w:val="single" w:sz="6" w:space="0" w:color="auto"/>
            </w:tcBorders>
          </w:tcPr>
          <w:p w14:paraId="5FE8CD22" w14:textId="77777777" w:rsidR="002A74A0" w:rsidRPr="003A3426" w:rsidRDefault="002A74A0" w:rsidP="002A74A0">
            <w:pPr>
              <w:jc w:val="left"/>
              <w:rPr>
                <w:snapToGrid w:val="0"/>
              </w:rPr>
            </w:pPr>
            <w:r w:rsidRPr="003A3426">
              <w:rPr>
                <w:snapToGrid w:val="0"/>
              </w:rPr>
              <w:t>British Thermal Unit</w:t>
            </w:r>
          </w:p>
        </w:tc>
      </w:tr>
      <w:tr w:rsidR="002A74A0" w:rsidRPr="003A3426" w14:paraId="00C297B5"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3E3BFF38" w14:textId="67345F1E" w:rsidR="002A74A0" w:rsidRPr="003A3426" w:rsidRDefault="002A74A0" w:rsidP="002A74A0">
            <w:pPr>
              <w:jc w:val="left"/>
              <w:rPr>
                <w:snapToGrid w:val="0"/>
              </w:rPr>
            </w:pPr>
            <w:r>
              <w:rPr>
                <w:snapToGrid w:val="0"/>
              </w:rPr>
              <w:t xml:space="preserve">Budget </w:t>
            </w:r>
            <w:r w:rsidR="00FE5AA2">
              <w:rPr>
                <w:snapToGrid w:val="0"/>
              </w:rPr>
              <w:t>2025</w:t>
            </w:r>
            <w:r w:rsidR="00E4264D">
              <w:rPr>
                <w:snapToGrid w:val="0"/>
              </w:rPr>
              <w:t xml:space="preserve"> or B25</w:t>
            </w:r>
          </w:p>
        </w:tc>
        <w:tc>
          <w:tcPr>
            <w:tcW w:w="5449" w:type="dxa"/>
            <w:tcBorders>
              <w:top w:val="single" w:sz="6" w:space="0" w:color="auto"/>
              <w:left w:val="single" w:sz="6" w:space="0" w:color="auto"/>
              <w:bottom w:val="single" w:sz="6" w:space="0" w:color="auto"/>
              <w:right w:val="single" w:sz="6" w:space="0" w:color="auto"/>
            </w:tcBorders>
          </w:tcPr>
          <w:p w14:paraId="1EBAD679" w14:textId="6DEF9D18" w:rsidR="002A74A0" w:rsidRPr="007000DA" w:rsidRDefault="002A74A0" w:rsidP="002A74A0">
            <w:pPr>
              <w:jc w:val="left"/>
              <w:rPr>
                <w:snapToGrid w:val="0"/>
              </w:rPr>
            </w:pPr>
            <w:r w:rsidRPr="007000DA">
              <w:t xml:space="preserve">Budget </w:t>
            </w:r>
            <w:r w:rsidR="00FE5AA2" w:rsidRPr="007000DA">
              <w:t>20</w:t>
            </w:r>
            <w:r w:rsidR="00FE5AA2">
              <w:t>25</w:t>
            </w:r>
            <w:r w:rsidR="00FE5AA2" w:rsidRPr="007000DA">
              <w:t xml:space="preserve"> </w:t>
            </w:r>
            <w:r w:rsidRPr="007000DA">
              <w:t>Load and Energy Forecast</w:t>
            </w:r>
          </w:p>
        </w:tc>
      </w:tr>
      <w:tr w:rsidR="002A74A0" w:rsidRPr="003A3426" w14:paraId="51A3BBC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4442B3A0" w14:textId="77777777" w:rsidR="002A74A0" w:rsidRPr="003A3426" w:rsidRDefault="002A74A0" w:rsidP="002A74A0">
            <w:pPr>
              <w:jc w:val="left"/>
              <w:rPr>
                <w:snapToGrid w:val="0"/>
              </w:rPr>
            </w:pPr>
            <w:r w:rsidRPr="003A3426">
              <w:rPr>
                <w:snapToGrid w:val="0"/>
              </w:rPr>
              <w:t>CAGR</w:t>
            </w:r>
          </w:p>
        </w:tc>
        <w:tc>
          <w:tcPr>
            <w:tcW w:w="5449" w:type="dxa"/>
            <w:tcBorders>
              <w:top w:val="single" w:sz="6" w:space="0" w:color="auto"/>
              <w:left w:val="single" w:sz="6" w:space="0" w:color="auto"/>
              <w:bottom w:val="single" w:sz="6" w:space="0" w:color="auto"/>
              <w:right w:val="single" w:sz="6" w:space="0" w:color="auto"/>
            </w:tcBorders>
          </w:tcPr>
          <w:p w14:paraId="4DF1D5CB" w14:textId="77777777" w:rsidR="002A74A0" w:rsidRPr="003A3426" w:rsidRDefault="002A74A0" w:rsidP="002A74A0">
            <w:pPr>
              <w:jc w:val="left"/>
              <w:rPr>
                <w:snapToGrid w:val="0"/>
              </w:rPr>
            </w:pPr>
            <w:r w:rsidRPr="003A3426">
              <w:rPr>
                <w:snapToGrid w:val="0"/>
              </w:rPr>
              <w:t>Compound Annual Growth Rate</w:t>
            </w:r>
          </w:p>
        </w:tc>
      </w:tr>
      <w:tr w:rsidR="002A74A0" w:rsidRPr="003A3426" w14:paraId="438355E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11681591" w14:textId="77777777" w:rsidR="002A74A0" w:rsidRPr="003A3426" w:rsidRDefault="002A74A0" w:rsidP="002A74A0">
            <w:pPr>
              <w:jc w:val="left"/>
              <w:rPr>
                <w:snapToGrid w:val="0"/>
              </w:rPr>
            </w:pPr>
            <w:r w:rsidRPr="003A3426">
              <w:rPr>
                <w:snapToGrid w:val="0"/>
              </w:rPr>
              <w:t>CBECS</w:t>
            </w:r>
          </w:p>
        </w:tc>
        <w:tc>
          <w:tcPr>
            <w:tcW w:w="5449" w:type="dxa"/>
            <w:tcBorders>
              <w:top w:val="single" w:sz="6" w:space="0" w:color="auto"/>
              <w:left w:val="single" w:sz="6" w:space="0" w:color="auto"/>
              <w:bottom w:val="single" w:sz="6" w:space="0" w:color="auto"/>
              <w:right w:val="single" w:sz="6" w:space="0" w:color="auto"/>
            </w:tcBorders>
          </w:tcPr>
          <w:p w14:paraId="611025B4" w14:textId="77777777" w:rsidR="002A74A0" w:rsidRPr="003A3426" w:rsidRDefault="002A74A0" w:rsidP="002A74A0">
            <w:pPr>
              <w:jc w:val="left"/>
              <w:rPr>
                <w:snapToGrid w:val="0"/>
              </w:rPr>
            </w:pPr>
            <w:r w:rsidRPr="003A3426">
              <w:rPr>
                <w:snapToGrid w:val="0"/>
              </w:rPr>
              <w:t>Commercial Building Energy Consumption Survey</w:t>
            </w:r>
          </w:p>
        </w:tc>
      </w:tr>
      <w:tr w:rsidR="002A74A0" w:rsidRPr="003A3426" w14:paraId="4006989B"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2083BE96" w14:textId="0702741D" w:rsidR="002A74A0" w:rsidRPr="003A3426" w:rsidRDefault="002A74A0" w:rsidP="002A74A0">
            <w:pPr>
              <w:jc w:val="left"/>
              <w:rPr>
                <w:snapToGrid w:val="0"/>
              </w:rPr>
            </w:pPr>
            <w:r>
              <w:rPr>
                <w:snapToGrid w:val="0"/>
              </w:rPr>
              <w:t>CDH</w:t>
            </w:r>
          </w:p>
        </w:tc>
        <w:tc>
          <w:tcPr>
            <w:tcW w:w="5449" w:type="dxa"/>
            <w:tcBorders>
              <w:top w:val="single" w:sz="6" w:space="0" w:color="auto"/>
              <w:left w:val="single" w:sz="6" w:space="0" w:color="auto"/>
              <w:bottom w:val="single" w:sz="6" w:space="0" w:color="auto"/>
              <w:right w:val="single" w:sz="6" w:space="0" w:color="auto"/>
            </w:tcBorders>
          </w:tcPr>
          <w:p w14:paraId="79334C64" w14:textId="042D2526" w:rsidR="002A74A0" w:rsidRPr="003A3426" w:rsidRDefault="002A74A0" w:rsidP="002A74A0">
            <w:pPr>
              <w:jc w:val="left"/>
              <w:rPr>
                <w:snapToGrid w:val="0"/>
              </w:rPr>
            </w:pPr>
            <w:r>
              <w:rPr>
                <w:snapToGrid w:val="0"/>
              </w:rPr>
              <w:t>Cooling Degree Hours</w:t>
            </w:r>
          </w:p>
        </w:tc>
      </w:tr>
      <w:tr w:rsidR="002A74A0" w:rsidRPr="003A3426" w14:paraId="2D1F3E37"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28E74343" w14:textId="5760C574" w:rsidR="002A74A0" w:rsidRDefault="002A74A0" w:rsidP="002A74A0">
            <w:pPr>
              <w:jc w:val="left"/>
              <w:rPr>
                <w:snapToGrid w:val="0"/>
              </w:rPr>
            </w:pPr>
            <w:r>
              <w:rPr>
                <w:snapToGrid w:val="0"/>
              </w:rPr>
              <w:t>Commission</w:t>
            </w:r>
          </w:p>
        </w:tc>
        <w:tc>
          <w:tcPr>
            <w:tcW w:w="5449" w:type="dxa"/>
            <w:tcBorders>
              <w:top w:val="single" w:sz="6" w:space="0" w:color="auto"/>
              <w:left w:val="single" w:sz="6" w:space="0" w:color="auto"/>
              <w:bottom w:val="single" w:sz="6" w:space="0" w:color="auto"/>
              <w:right w:val="single" w:sz="6" w:space="0" w:color="auto"/>
            </w:tcBorders>
          </w:tcPr>
          <w:p w14:paraId="4B0C2CCB" w14:textId="5BAAB496" w:rsidR="002A74A0" w:rsidRDefault="002A74A0" w:rsidP="002A74A0">
            <w:pPr>
              <w:jc w:val="left"/>
              <w:rPr>
                <w:snapToGrid w:val="0"/>
              </w:rPr>
            </w:pPr>
            <w:r>
              <w:rPr>
                <w:snapToGrid w:val="0"/>
              </w:rPr>
              <w:t>Georgia Public Service Commission</w:t>
            </w:r>
          </w:p>
        </w:tc>
      </w:tr>
      <w:tr w:rsidR="002A74A0" w:rsidRPr="003A3426" w14:paraId="58DCC675"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8194AF3" w14:textId="3F93709A" w:rsidR="002A74A0" w:rsidRPr="003A3426" w:rsidRDefault="002A74A0" w:rsidP="002A74A0">
            <w:pPr>
              <w:jc w:val="left"/>
              <w:rPr>
                <w:snapToGrid w:val="0"/>
              </w:rPr>
            </w:pPr>
            <w:r>
              <w:rPr>
                <w:snapToGrid w:val="0"/>
              </w:rPr>
              <w:t>CP</w:t>
            </w:r>
          </w:p>
        </w:tc>
        <w:tc>
          <w:tcPr>
            <w:tcW w:w="5449" w:type="dxa"/>
            <w:tcBorders>
              <w:top w:val="single" w:sz="6" w:space="0" w:color="auto"/>
              <w:left w:val="single" w:sz="6" w:space="0" w:color="auto"/>
              <w:bottom w:val="single" w:sz="6" w:space="0" w:color="auto"/>
              <w:right w:val="single" w:sz="6" w:space="0" w:color="auto"/>
            </w:tcBorders>
          </w:tcPr>
          <w:p w14:paraId="5D5D218B" w14:textId="1653A5CE" w:rsidR="002A74A0" w:rsidRPr="003A3426" w:rsidRDefault="002A74A0" w:rsidP="002A74A0">
            <w:pPr>
              <w:jc w:val="left"/>
              <w:rPr>
                <w:snapToGrid w:val="0"/>
              </w:rPr>
            </w:pPr>
            <w:r>
              <w:rPr>
                <w:snapToGrid w:val="0"/>
              </w:rPr>
              <w:t>Coincident Peak</w:t>
            </w:r>
          </w:p>
        </w:tc>
      </w:tr>
      <w:tr w:rsidR="002A74A0" w:rsidRPr="003A3426" w14:paraId="62232DAE"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28B6651A" w14:textId="220C8BDB" w:rsidR="002A74A0" w:rsidRPr="003A3426" w:rsidRDefault="002A74A0" w:rsidP="002A74A0">
            <w:pPr>
              <w:jc w:val="left"/>
              <w:rPr>
                <w:snapToGrid w:val="0"/>
              </w:rPr>
            </w:pPr>
            <w:r w:rsidRPr="003A3426">
              <w:rPr>
                <w:snapToGrid w:val="0"/>
              </w:rPr>
              <w:t>CRA</w:t>
            </w:r>
          </w:p>
        </w:tc>
        <w:tc>
          <w:tcPr>
            <w:tcW w:w="5449" w:type="dxa"/>
            <w:tcBorders>
              <w:top w:val="single" w:sz="6" w:space="0" w:color="auto"/>
              <w:left w:val="single" w:sz="6" w:space="0" w:color="auto"/>
              <w:bottom w:val="single" w:sz="6" w:space="0" w:color="auto"/>
              <w:right w:val="single" w:sz="6" w:space="0" w:color="auto"/>
            </w:tcBorders>
          </w:tcPr>
          <w:p w14:paraId="78514DD0" w14:textId="565E16FD" w:rsidR="002A74A0" w:rsidRPr="003A3426" w:rsidRDefault="002A74A0" w:rsidP="002A74A0">
            <w:pPr>
              <w:jc w:val="left"/>
              <w:rPr>
                <w:snapToGrid w:val="0"/>
              </w:rPr>
            </w:pPr>
            <w:r w:rsidRPr="003A3426">
              <w:rPr>
                <w:snapToGrid w:val="0"/>
              </w:rPr>
              <w:t>Charles River</w:t>
            </w:r>
            <w:r>
              <w:rPr>
                <w:snapToGrid w:val="0"/>
              </w:rPr>
              <w:t xml:space="preserve"> Associates</w:t>
            </w:r>
          </w:p>
        </w:tc>
      </w:tr>
      <w:tr w:rsidR="002A74A0" w:rsidRPr="003A3426" w14:paraId="18282F7E" w14:textId="77777777" w:rsidTr="00775830">
        <w:trPr>
          <w:trHeight w:val="345"/>
        </w:trPr>
        <w:tc>
          <w:tcPr>
            <w:tcW w:w="2152" w:type="dxa"/>
            <w:tcBorders>
              <w:top w:val="single" w:sz="6" w:space="0" w:color="auto"/>
              <w:left w:val="single" w:sz="6" w:space="0" w:color="auto"/>
              <w:bottom w:val="single" w:sz="6" w:space="0" w:color="auto"/>
              <w:right w:val="single" w:sz="6" w:space="0" w:color="auto"/>
            </w:tcBorders>
          </w:tcPr>
          <w:p w14:paraId="7A9C55A2" w14:textId="72A4DE38" w:rsidR="002A74A0" w:rsidRPr="003A3426" w:rsidRDefault="002A74A0" w:rsidP="002A74A0">
            <w:pPr>
              <w:jc w:val="left"/>
              <w:rPr>
                <w:snapToGrid w:val="0"/>
              </w:rPr>
            </w:pPr>
            <w:r w:rsidRPr="003A3426">
              <w:rPr>
                <w:snapToGrid w:val="0"/>
              </w:rPr>
              <w:t>CVR</w:t>
            </w:r>
          </w:p>
        </w:tc>
        <w:tc>
          <w:tcPr>
            <w:tcW w:w="5449" w:type="dxa"/>
            <w:tcBorders>
              <w:top w:val="single" w:sz="6" w:space="0" w:color="auto"/>
              <w:left w:val="single" w:sz="6" w:space="0" w:color="auto"/>
              <w:bottom w:val="single" w:sz="6" w:space="0" w:color="auto"/>
              <w:right w:val="single" w:sz="6" w:space="0" w:color="auto"/>
            </w:tcBorders>
          </w:tcPr>
          <w:p w14:paraId="5A8E177E" w14:textId="7B009B39" w:rsidR="002A74A0" w:rsidRPr="003A3426" w:rsidRDefault="002A74A0" w:rsidP="002A74A0">
            <w:pPr>
              <w:jc w:val="left"/>
              <w:rPr>
                <w:snapToGrid w:val="0"/>
              </w:rPr>
            </w:pPr>
            <w:r w:rsidRPr="003A3426">
              <w:rPr>
                <w:snapToGrid w:val="0"/>
              </w:rPr>
              <w:t>Conservation Voltage Reduction</w:t>
            </w:r>
          </w:p>
        </w:tc>
      </w:tr>
      <w:tr w:rsidR="002A74A0" w:rsidRPr="003A3426" w14:paraId="66FF57FC"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8B2ABC5" w14:textId="614FD124" w:rsidR="002A74A0" w:rsidRPr="003A3426" w:rsidRDefault="002A74A0" w:rsidP="002A74A0">
            <w:pPr>
              <w:jc w:val="left"/>
              <w:rPr>
                <w:snapToGrid w:val="0"/>
              </w:rPr>
            </w:pPr>
            <w:r w:rsidRPr="003A3426">
              <w:rPr>
                <w:snapToGrid w:val="0"/>
              </w:rPr>
              <w:t>DEP</w:t>
            </w:r>
          </w:p>
        </w:tc>
        <w:tc>
          <w:tcPr>
            <w:tcW w:w="5449" w:type="dxa"/>
            <w:tcBorders>
              <w:top w:val="single" w:sz="6" w:space="0" w:color="auto"/>
              <w:left w:val="single" w:sz="6" w:space="0" w:color="auto"/>
              <w:bottom w:val="single" w:sz="6" w:space="0" w:color="auto"/>
              <w:right w:val="single" w:sz="6" w:space="0" w:color="auto"/>
            </w:tcBorders>
          </w:tcPr>
          <w:p w14:paraId="59748AD8" w14:textId="6D160459" w:rsidR="002A74A0" w:rsidRPr="003A3426" w:rsidRDefault="002A74A0" w:rsidP="002A74A0">
            <w:pPr>
              <w:jc w:val="left"/>
              <w:rPr>
                <w:snapToGrid w:val="0"/>
              </w:rPr>
            </w:pPr>
            <w:r w:rsidRPr="003A3426">
              <w:rPr>
                <w:snapToGrid w:val="0"/>
              </w:rPr>
              <w:t>Distribution Efficiency Program</w:t>
            </w:r>
          </w:p>
        </w:tc>
      </w:tr>
      <w:tr w:rsidR="002A74A0" w:rsidRPr="003A3426" w14:paraId="32436595"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000E7D80" w14:textId="5435C844" w:rsidR="002A74A0" w:rsidRPr="003A3426" w:rsidRDefault="002A74A0" w:rsidP="002A74A0">
            <w:pPr>
              <w:jc w:val="left"/>
              <w:rPr>
                <w:snapToGrid w:val="0"/>
              </w:rPr>
            </w:pPr>
            <w:r w:rsidRPr="003A3426">
              <w:rPr>
                <w:snapToGrid w:val="0"/>
              </w:rPr>
              <w:t>DOE</w:t>
            </w:r>
          </w:p>
        </w:tc>
        <w:tc>
          <w:tcPr>
            <w:tcW w:w="5449" w:type="dxa"/>
            <w:tcBorders>
              <w:top w:val="single" w:sz="6" w:space="0" w:color="auto"/>
              <w:left w:val="single" w:sz="6" w:space="0" w:color="auto"/>
              <w:bottom w:val="single" w:sz="6" w:space="0" w:color="auto"/>
              <w:right w:val="single" w:sz="6" w:space="0" w:color="auto"/>
            </w:tcBorders>
          </w:tcPr>
          <w:p w14:paraId="46F14DD3" w14:textId="3E9768A3" w:rsidR="002A74A0" w:rsidRPr="003A3426" w:rsidRDefault="002A74A0" w:rsidP="002A74A0">
            <w:pPr>
              <w:jc w:val="left"/>
              <w:rPr>
                <w:snapToGrid w:val="0"/>
              </w:rPr>
            </w:pPr>
            <w:r w:rsidRPr="003A3426">
              <w:rPr>
                <w:snapToGrid w:val="0"/>
              </w:rPr>
              <w:t>U</w:t>
            </w:r>
            <w:r w:rsidR="004C039E">
              <w:rPr>
                <w:snapToGrid w:val="0"/>
              </w:rPr>
              <w:t>.</w:t>
            </w:r>
            <w:r w:rsidRPr="003A3426">
              <w:rPr>
                <w:snapToGrid w:val="0"/>
              </w:rPr>
              <w:t>S</w:t>
            </w:r>
            <w:r w:rsidR="004C039E">
              <w:rPr>
                <w:snapToGrid w:val="0"/>
              </w:rPr>
              <w:t>.</w:t>
            </w:r>
            <w:r w:rsidRPr="003A3426">
              <w:rPr>
                <w:snapToGrid w:val="0"/>
              </w:rPr>
              <w:t xml:space="preserve"> Department of Energy</w:t>
            </w:r>
          </w:p>
        </w:tc>
      </w:tr>
      <w:tr w:rsidR="002A74A0" w:rsidRPr="003A3426" w14:paraId="4EAC5AEC"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E9CC2A5" w14:textId="6C3F893D" w:rsidR="002A74A0" w:rsidRPr="003A3426" w:rsidRDefault="002A74A0" w:rsidP="002A74A0">
            <w:pPr>
              <w:jc w:val="left"/>
              <w:rPr>
                <w:snapToGrid w:val="0"/>
              </w:rPr>
            </w:pPr>
            <w:r w:rsidRPr="003A3426">
              <w:rPr>
                <w:snapToGrid w:val="0"/>
              </w:rPr>
              <w:t>DPEC</w:t>
            </w:r>
          </w:p>
        </w:tc>
        <w:tc>
          <w:tcPr>
            <w:tcW w:w="5449" w:type="dxa"/>
            <w:tcBorders>
              <w:top w:val="single" w:sz="6" w:space="0" w:color="auto"/>
              <w:left w:val="single" w:sz="6" w:space="0" w:color="auto"/>
              <w:bottom w:val="single" w:sz="6" w:space="0" w:color="auto"/>
              <w:right w:val="single" w:sz="6" w:space="0" w:color="auto"/>
            </w:tcBorders>
          </w:tcPr>
          <w:p w14:paraId="3EE412A7" w14:textId="5C80DC19" w:rsidR="002A74A0" w:rsidRPr="003A3426" w:rsidRDefault="002A74A0" w:rsidP="002A74A0">
            <w:pPr>
              <w:jc w:val="left"/>
              <w:rPr>
                <w:snapToGrid w:val="0"/>
              </w:rPr>
            </w:pPr>
            <w:r w:rsidRPr="003A3426">
              <w:rPr>
                <w:snapToGrid w:val="0"/>
              </w:rPr>
              <w:t xml:space="preserve">Demand Plus Energy Credit </w:t>
            </w:r>
          </w:p>
        </w:tc>
      </w:tr>
      <w:tr w:rsidR="002A74A0" w:rsidRPr="003A3426" w14:paraId="45E5B5F7"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4528E9CC" w14:textId="56889D7F" w:rsidR="002A74A0" w:rsidRPr="003A3426" w:rsidRDefault="002A74A0" w:rsidP="002A74A0">
            <w:pPr>
              <w:jc w:val="left"/>
              <w:rPr>
                <w:snapToGrid w:val="0"/>
              </w:rPr>
            </w:pPr>
            <w:r>
              <w:rPr>
                <w:snapToGrid w:val="0"/>
              </w:rPr>
              <w:t>DSM</w:t>
            </w:r>
          </w:p>
        </w:tc>
        <w:tc>
          <w:tcPr>
            <w:tcW w:w="5449" w:type="dxa"/>
            <w:tcBorders>
              <w:top w:val="single" w:sz="6" w:space="0" w:color="auto"/>
              <w:left w:val="single" w:sz="6" w:space="0" w:color="auto"/>
              <w:bottom w:val="single" w:sz="6" w:space="0" w:color="auto"/>
              <w:right w:val="single" w:sz="6" w:space="0" w:color="auto"/>
            </w:tcBorders>
          </w:tcPr>
          <w:p w14:paraId="4D9E1DB0" w14:textId="520EF8FD" w:rsidR="002A74A0" w:rsidRPr="003A3426" w:rsidRDefault="002A74A0" w:rsidP="002A74A0">
            <w:pPr>
              <w:jc w:val="left"/>
              <w:rPr>
                <w:snapToGrid w:val="0"/>
              </w:rPr>
            </w:pPr>
            <w:r>
              <w:rPr>
                <w:snapToGrid w:val="0"/>
              </w:rPr>
              <w:t>Demand Side Management</w:t>
            </w:r>
          </w:p>
        </w:tc>
      </w:tr>
      <w:tr w:rsidR="002A74A0" w:rsidRPr="003A3426" w14:paraId="5DE0EED0"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18829415" w14:textId="2372D24F" w:rsidR="002A74A0" w:rsidRPr="003A3426" w:rsidRDefault="002A74A0" w:rsidP="002A74A0">
            <w:pPr>
              <w:jc w:val="left"/>
              <w:rPr>
                <w:snapToGrid w:val="0"/>
              </w:rPr>
            </w:pPr>
            <w:r w:rsidRPr="003A3426">
              <w:rPr>
                <w:snapToGrid w:val="0"/>
              </w:rPr>
              <w:t>DSO</w:t>
            </w:r>
          </w:p>
        </w:tc>
        <w:tc>
          <w:tcPr>
            <w:tcW w:w="5449" w:type="dxa"/>
            <w:tcBorders>
              <w:top w:val="single" w:sz="6" w:space="0" w:color="auto"/>
              <w:left w:val="single" w:sz="6" w:space="0" w:color="auto"/>
              <w:bottom w:val="single" w:sz="6" w:space="0" w:color="auto"/>
              <w:right w:val="single" w:sz="6" w:space="0" w:color="auto"/>
            </w:tcBorders>
          </w:tcPr>
          <w:p w14:paraId="6477AAD1" w14:textId="06FAF6B9" w:rsidR="002A74A0" w:rsidRPr="003A3426" w:rsidRDefault="002A74A0" w:rsidP="002A74A0">
            <w:pPr>
              <w:jc w:val="left"/>
              <w:rPr>
                <w:snapToGrid w:val="0"/>
              </w:rPr>
            </w:pPr>
            <w:r w:rsidRPr="003A3426">
              <w:rPr>
                <w:snapToGrid w:val="0"/>
              </w:rPr>
              <w:t>Demand Side Options</w:t>
            </w:r>
          </w:p>
        </w:tc>
      </w:tr>
      <w:tr w:rsidR="002A74A0" w:rsidRPr="003A3426" w14:paraId="35DB6AC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316FA16" w14:textId="2BBCBD75" w:rsidR="002A74A0" w:rsidRDefault="002A74A0" w:rsidP="002A74A0">
            <w:pPr>
              <w:jc w:val="left"/>
              <w:rPr>
                <w:snapToGrid w:val="0"/>
              </w:rPr>
            </w:pPr>
            <w:r>
              <w:rPr>
                <w:snapToGrid w:val="0"/>
              </w:rPr>
              <w:t>EIA</w:t>
            </w:r>
          </w:p>
        </w:tc>
        <w:tc>
          <w:tcPr>
            <w:tcW w:w="5449" w:type="dxa"/>
            <w:tcBorders>
              <w:top w:val="single" w:sz="6" w:space="0" w:color="auto"/>
              <w:left w:val="single" w:sz="6" w:space="0" w:color="auto"/>
              <w:bottom w:val="single" w:sz="6" w:space="0" w:color="auto"/>
              <w:right w:val="single" w:sz="6" w:space="0" w:color="auto"/>
            </w:tcBorders>
          </w:tcPr>
          <w:p w14:paraId="538524A3" w14:textId="5F617270" w:rsidR="002A74A0" w:rsidRDefault="002A74A0" w:rsidP="002A74A0">
            <w:pPr>
              <w:jc w:val="left"/>
              <w:rPr>
                <w:snapToGrid w:val="0"/>
              </w:rPr>
            </w:pPr>
            <w:r>
              <w:rPr>
                <w:snapToGrid w:val="0"/>
              </w:rPr>
              <w:t>Energy Information Administration</w:t>
            </w:r>
          </w:p>
        </w:tc>
      </w:tr>
      <w:tr w:rsidR="006829C2" w:rsidRPr="003A3426" w14:paraId="3C0B6344"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19368811" w14:textId="51DEFB1F" w:rsidR="006829C2" w:rsidRPr="003A3426" w:rsidRDefault="006829C2" w:rsidP="002A74A0">
            <w:pPr>
              <w:jc w:val="left"/>
              <w:rPr>
                <w:snapToGrid w:val="0"/>
              </w:rPr>
            </w:pPr>
            <w:r w:rsidRPr="003A3426">
              <w:rPr>
                <w:snapToGrid w:val="0"/>
              </w:rPr>
              <w:t>EPRI</w:t>
            </w:r>
          </w:p>
        </w:tc>
        <w:tc>
          <w:tcPr>
            <w:tcW w:w="5449" w:type="dxa"/>
            <w:tcBorders>
              <w:top w:val="single" w:sz="6" w:space="0" w:color="auto"/>
              <w:left w:val="single" w:sz="6" w:space="0" w:color="auto"/>
              <w:bottom w:val="single" w:sz="6" w:space="0" w:color="auto"/>
              <w:right w:val="single" w:sz="6" w:space="0" w:color="auto"/>
            </w:tcBorders>
          </w:tcPr>
          <w:p w14:paraId="5C0EBA3B" w14:textId="7254BBE3" w:rsidR="006829C2" w:rsidRPr="003A3426" w:rsidRDefault="006829C2" w:rsidP="002A74A0">
            <w:pPr>
              <w:jc w:val="left"/>
              <w:rPr>
                <w:snapToGrid w:val="0"/>
              </w:rPr>
            </w:pPr>
            <w:r w:rsidRPr="003A3426">
              <w:rPr>
                <w:snapToGrid w:val="0"/>
              </w:rPr>
              <w:t>Electric Power Research Institute</w:t>
            </w:r>
          </w:p>
        </w:tc>
      </w:tr>
      <w:tr w:rsidR="006829C2" w:rsidRPr="003A3426" w14:paraId="09F0028D"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1BEC0EE2" w14:textId="37B8D552" w:rsidR="006829C2" w:rsidRPr="003A3426" w:rsidRDefault="006829C2" w:rsidP="002A74A0">
            <w:pPr>
              <w:jc w:val="left"/>
              <w:rPr>
                <w:snapToGrid w:val="0"/>
              </w:rPr>
            </w:pPr>
            <w:r w:rsidRPr="003A3426">
              <w:rPr>
                <w:snapToGrid w:val="0"/>
              </w:rPr>
              <w:t>EUI</w:t>
            </w:r>
          </w:p>
        </w:tc>
        <w:tc>
          <w:tcPr>
            <w:tcW w:w="5449" w:type="dxa"/>
            <w:tcBorders>
              <w:top w:val="single" w:sz="6" w:space="0" w:color="auto"/>
              <w:left w:val="single" w:sz="6" w:space="0" w:color="auto"/>
              <w:bottom w:val="single" w:sz="6" w:space="0" w:color="auto"/>
              <w:right w:val="single" w:sz="6" w:space="0" w:color="auto"/>
            </w:tcBorders>
          </w:tcPr>
          <w:p w14:paraId="4A03AC26" w14:textId="48DC8D52" w:rsidR="006829C2" w:rsidRPr="003A3426" w:rsidRDefault="006829C2" w:rsidP="002A74A0">
            <w:pPr>
              <w:jc w:val="left"/>
              <w:rPr>
                <w:snapToGrid w:val="0"/>
              </w:rPr>
            </w:pPr>
            <w:r w:rsidRPr="003A3426">
              <w:rPr>
                <w:snapToGrid w:val="0"/>
              </w:rPr>
              <w:t>Energy Usage Index</w:t>
            </w:r>
          </w:p>
        </w:tc>
      </w:tr>
      <w:tr w:rsidR="006829C2" w:rsidRPr="003A3426" w14:paraId="368FFC09"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79E9F68" w14:textId="50265728" w:rsidR="006829C2" w:rsidRPr="003A3426" w:rsidRDefault="006829C2" w:rsidP="002A74A0">
            <w:pPr>
              <w:jc w:val="left"/>
              <w:rPr>
                <w:snapToGrid w:val="0"/>
              </w:rPr>
            </w:pPr>
            <w:r w:rsidRPr="003A3426">
              <w:rPr>
                <w:snapToGrid w:val="0"/>
              </w:rPr>
              <w:t>GDP</w:t>
            </w:r>
          </w:p>
        </w:tc>
        <w:tc>
          <w:tcPr>
            <w:tcW w:w="5449" w:type="dxa"/>
            <w:tcBorders>
              <w:top w:val="single" w:sz="6" w:space="0" w:color="auto"/>
              <w:left w:val="single" w:sz="6" w:space="0" w:color="auto"/>
              <w:bottom w:val="single" w:sz="6" w:space="0" w:color="auto"/>
              <w:right w:val="single" w:sz="6" w:space="0" w:color="auto"/>
            </w:tcBorders>
          </w:tcPr>
          <w:p w14:paraId="7B563DDB" w14:textId="69EA8799" w:rsidR="006829C2" w:rsidRPr="003A3426" w:rsidRDefault="006829C2" w:rsidP="002A74A0">
            <w:pPr>
              <w:jc w:val="left"/>
              <w:rPr>
                <w:snapToGrid w:val="0"/>
              </w:rPr>
            </w:pPr>
            <w:r>
              <w:rPr>
                <w:snapToGrid w:val="0"/>
              </w:rPr>
              <w:t xml:space="preserve">U.S. </w:t>
            </w:r>
            <w:r w:rsidRPr="003A3426">
              <w:rPr>
                <w:snapToGrid w:val="0"/>
              </w:rPr>
              <w:t>Gross Domestic Product</w:t>
            </w:r>
          </w:p>
        </w:tc>
      </w:tr>
      <w:tr w:rsidR="00A125E9" w:rsidRPr="003A3426" w14:paraId="51E1FEFF"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0409A853" w14:textId="1D38D432" w:rsidR="00A125E9" w:rsidRPr="003A3426" w:rsidRDefault="00A125E9" w:rsidP="002A74A0">
            <w:pPr>
              <w:jc w:val="left"/>
              <w:rPr>
                <w:snapToGrid w:val="0"/>
              </w:rPr>
            </w:pPr>
            <w:r>
              <w:rPr>
                <w:snapToGrid w:val="0"/>
              </w:rPr>
              <w:t>GHG</w:t>
            </w:r>
          </w:p>
        </w:tc>
        <w:tc>
          <w:tcPr>
            <w:tcW w:w="5449" w:type="dxa"/>
            <w:tcBorders>
              <w:top w:val="single" w:sz="6" w:space="0" w:color="auto"/>
              <w:left w:val="single" w:sz="6" w:space="0" w:color="auto"/>
              <w:bottom w:val="single" w:sz="6" w:space="0" w:color="auto"/>
              <w:right w:val="single" w:sz="6" w:space="0" w:color="auto"/>
            </w:tcBorders>
          </w:tcPr>
          <w:p w14:paraId="018B239D" w14:textId="6DC377CE" w:rsidR="00A125E9" w:rsidRPr="003A3426" w:rsidRDefault="00A125E9" w:rsidP="002A74A0">
            <w:pPr>
              <w:jc w:val="left"/>
              <w:rPr>
                <w:snapToGrid w:val="0"/>
              </w:rPr>
            </w:pPr>
            <w:r>
              <w:rPr>
                <w:snapToGrid w:val="0"/>
              </w:rPr>
              <w:t>Greenhouse Gas</w:t>
            </w:r>
          </w:p>
        </w:tc>
      </w:tr>
      <w:tr w:rsidR="006829C2" w:rsidRPr="003A3426" w14:paraId="6DAFCCD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4CC4BA50" w14:textId="6560F243" w:rsidR="006829C2" w:rsidRPr="003A3426" w:rsidRDefault="006829C2" w:rsidP="002A74A0">
            <w:pPr>
              <w:jc w:val="left"/>
              <w:rPr>
                <w:snapToGrid w:val="0"/>
              </w:rPr>
            </w:pPr>
            <w:r w:rsidRPr="003A3426">
              <w:rPr>
                <w:snapToGrid w:val="0"/>
              </w:rPr>
              <w:t>GSP</w:t>
            </w:r>
          </w:p>
        </w:tc>
        <w:tc>
          <w:tcPr>
            <w:tcW w:w="5449" w:type="dxa"/>
            <w:tcBorders>
              <w:top w:val="single" w:sz="6" w:space="0" w:color="auto"/>
              <w:left w:val="single" w:sz="6" w:space="0" w:color="auto"/>
              <w:bottom w:val="single" w:sz="6" w:space="0" w:color="auto"/>
              <w:right w:val="single" w:sz="6" w:space="0" w:color="auto"/>
            </w:tcBorders>
          </w:tcPr>
          <w:p w14:paraId="322C6F1F" w14:textId="533AF3F1" w:rsidR="006829C2" w:rsidRPr="003A3426" w:rsidRDefault="006829C2" w:rsidP="002A74A0">
            <w:pPr>
              <w:jc w:val="left"/>
              <w:rPr>
                <w:snapToGrid w:val="0"/>
              </w:rPr>
            </w:pPr>
            <w:r w:rsidRPr="003A3426">
              <w:rPr>
                <w:snapToGrid w:val="0"/>
              </w:rPr>
              <w:t>Gross State Product</w:t>
            </w:r>
          </w:p>
        </w:tc>
      </w:tr>
      <w:tr w:rsidR="006829C2" w:rsidRPr="003A3426" w14:paraId="5350B7EA"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0C52CA2C" w14:textId="17AD4B35" w:rsidR="006829C2" w:rsidRPr="003A3426" w:rsidRDefault="006829C2" w:rsidP="002A74A0">
            <w:pPr>
              <w:jc w:val="left"/>
              <w:rPr>
                <w:snapToGrid w:val="0"/>
              </w:rPr>
            </w:pPr>
            <w:r>
              <w:rPr>
                <w:snapToGrid w:val="0"/>
              </w:rPr>
              <w:t>HDH</w:t>
            </w:r>
          </w:p>
        </w:tc>
        <w:tc>
          <w:tcPr>
            <w:tcW w:w="5449" w:type="dxa"/>
            <w:tcBorders>
              <w:top w:val="single" w:sz="6" w:space="0" w:color="auto"/>
              <w:left w:val="single" w:sz="6" w:space="0" w:color="auto"/>
              <w:bottom w:val="single" w:sz="6" w:space="0" w:color="auto"/>
              <w:right w:val="single" w:sz="6" w:space="0" w:color="auto"/>
            </w:tcBorders>
          </w:tcPr>
          <w:p w14:paraId="5F22C0F1" w14:textId="7D890442" w:rsidR="006829C2" w:rsidRPr="003A3426" w:rsidRDefault="006829C2" w:rsidP="002A74A0">
            <w:pPr>
              <w:jc w:val="left"/>
              <w:rPr>
                <w:snapToGrid w:val="0"/>
              </w:rPr>
            </w:pPr>
            <w:r>
              <w:rPr>
                <w:snapToGrid w:val="0"/>
              </w:rPr>
              <w:t>Heating Degree Hours</w:t>
            </w:r>
          </w:p>
        </w:tc>
      </w:tr>
      <w:tr w:rsidR="006829C2" w:rsidRPr="003A3426" w14:paraId="748921F8"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AAC6818" w14:textId="0C75436D" w:rsidR="006829C2" w:rsidRPr="003A3426" w:rsidRDefault="006829C2" w:rsidP="002A74A0">
            <w:pPr>
              <w:jc w:val="left"/>
              <w:rPr>
                <w:snapToGrid w:val="0"/>
              </w:rPr>
            </w:pPr>
            <w:r w:rsidRPr="003A3426">
              <w:rPr>
                <w:snapToGrid w:val="0"/>
              </w:rPr>
              <w:t>HVAC</w:t>
            </w:r>
          </w:p>
        </w:tc>
        <w:tc>
          <w:tcPr>
            <w:tcW w:w="5449" w:type="dxa"/>
            <w:tcBorders>
              <w:top w:val="single" w:sz="6" w:space="0" w:color="auto"/>
              <w:left w:val="single" w:sz="6" w:space="0" w:color="auto"/>
              <w:bottom w:val="single" w:sz="6" w:space="0" w:color="auto"/>
              <w:right w:val="single" w:sz="6" w:space="0" w:color="auto"/>
            </w:tcBorders>
          </w:tcPr>
          <w:p w14:paraId="232243A0" w14:textId="09A8725C" w:rsidR="006829C2" w:rsidRPr="003A3426" w:rsidRDefault="006829C2" w:rsidP="002A74A0">
            <w:pPr>
              <w:jc w:val="left"/>
              <w:rPr>
                <w:snapToGrid w:val="0"/>
              </w:rPr>
            </w:pPr>
            <w:r w:rsidRPr="003A3426">
              <w:rPr>
                <w:snapToGrid w:val="0"/>
              </w:rPr>
              <w:t xml:space="preserve">Heating Ventilation </w:t>
            </w:r>
            <w:r>
              <w:rPr>
                <w:snapToGrid w:val="0"/>
              </w:rPr>
              <w:t xml:space="preserve">&amp; </w:t>
            </w:r>
            <w:r w:rsidRPr="003A3426">
              <w:rPr>
                <w:snapToGrid w:val="0"/>
              </w:rPr>
              <w:t>Air Conditioning</w:t>
            </w:r>
          </w:p>
        </w:tc>
      </w:tr>
      <w:tr w:rsidR="006829C2" w:rsidRPr="003A3426" w14:paraId="01FB8693"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3821A2DA" w14:textId="1E37EB05" w:rsidR="006829C2" w:rsidRPr="003A3426" w:rsidRDefault="006829C2" w:rsidP="002A74A0">
            <w:pPr>
              <w:jc w:val="left"/>
              <w:rPr>
                <w:snapToGrid w:val="0"/>
              </w:rPr>
            </w:pPr>
            <w:r>
              <w:rPr>
                <w:snapToGrid w:val="0"/>
              </w:rPr>
              <w:t>LoadMAP</w:t>
            </w:r>
          </w:p>
        </w:tc>
        <w:tc>
          <w:tcPr>
            <w:tcW w:w="5449" w:type="dxa"/>
            <w:tcBorders>
              <w:top w:val="single" w:sz="6" w:space="0" w:color="auto"/>
              <w:left w:val="single" w:sz="6" w:space="0" w:color="auto"/>
              <w:bottom w:val="single" w:sz="6" w:space="0" w:color="auto"/>
              <w:right w:val="single" w:sz="6" w:space="0" w:color="auto"/>
            </w:tcBorders>
          </w:tcPr>
          <w:p w14:paraId="7D71634D" w14:textId="623FF01D" w:rsidR="006829C2" w:rsidRPr="003A3426" w:rsidRDefault="006829C2" w:rsidP="002A74A0">
            <w:pPr>
              <w:jc w:val="left"/>
              <w:rPr>
                <w:snapToGrid w:val="0"/>
              </w:rPr>
            </w:pPr>
            <w:r>
              <w:rPr>
                <w:snapToGrid w:val="0"/>
              </w:rPr>
              <w:t>Load Management Analysis and Planning</w:t>
            </w:r>
          </w:p>
        </w:tc>
      </w:tr>
      <w:tr w:rsidR="001A03FE" w:rsidRPr="003A3426" w14:paraId="6A57CFF3"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3F5B69C9" w14:textId="40DB5825" w:rsidR="001A03FE" w:rsidRPr="003A3426" w:rsidRDefault="001A03FE" w:rsidP="002A74A0">
            <w:pPr>
              <w:jc w:val="left"/>
              <w:rPr>
                <w:snapToGrid w:val="0"/>
              </w:rPr>
            </w:pPr>
            <w:r>
              <w:rPr>
                <w:snapToGrid w:val="0"/>
              </w:rPr>
              <w:t>LRM</w:t>
            </w:r>
          </w:p>
        </w:tc>
        <w:tc>
          <w:tcPr>
            <w:tcW w:w="5449" w:type="dxa"/>
            <w:tcBorders>
              <w:top w:val="single" w:sz="6" w:space="0" w:color="auto"/>
              <w:left w:val="single" w:sz="6" w:space="0" w:color="auto"/>
              <w:bottom w:val="single" w:sz="6" w:space="0" w:color="auto"/>
              <w:right w:val="single" w:sz="6" w:space="0" w:color="auto"/>
            </w:tcBorders>
          </w:tcPr>
          <w:p w14:paraId="30F60CDA" w14:textId="77A39C62" w:rsidR="001A03FE" w:rsidRPr="003A3426" w:rsidRDefault="001A03FE" w:rsidP="002A74A0">
            <w:pPr>
              <w:jc w:val="left"/>
              <w:rPr>
                <w:snapToGrid w:val="0"/>
              </w:rPr>
            </w:pPr>
            <w:r>
              <w:rPr>
                <w:snapToGrid w:val="0"/>
              </w:rPr>
              <w:t>Load Realization Model</w:t>
            </w:r>
          </w:p>
        </w:tc>
      </w:tr>
      <w:tr w:rsidR="006829C2" w:rsidRPr="003A3426" w14:paraId="0978B1EC"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47BD3A81" w14:textId="49EB6572" w:rsidR="006829C2" w:rsidRPr="003A3426" w:rsidRDefault="006829C2" w:rsidP="002A74A0">
            <w:pPr>
              <w:jc w:val="left"/>
              <w:rPr>
                <w:snapToGrid w:val="0"/>
              </w:rPr>
            </w:pPr>
            <w:r w:rsidRPr="003A3426">
              <w:rPr>
                <w:snapToGrid w:val="0"/>
              </w:rPr>
              <w:t>LT</w:t>
            </w:r>
          </w:p>
        </w:tc>
        <w:tc>
          <w:tcPr>
            <w:tcW w:w="5449" w:type="dxa"/>
            <w:tcBorders>
              <w:top w:val="single" w:sz="6" w:space="0" w:color="auto"/>
              <w:left w:val="single" w:sz="6" w:space="0" w:color="auto"/>
              <w:bottom w:val="single" w:sz="6" w:space="0" w:color="auto"/>
              <w:right w:val="single" w:sz="6" w:space="0" w:color="auto"/>
            </w:tcBorders>
          </w:tcPr>
          <w:p w14:paraId="417A3CBB" w14:textId="48F9FFCA" w:rsidR="006829C2" w:rsidRPr="003A3426" w:rsidRDefault="006829C2" w:rsidP="002A74A0">
            <w:pPr>
              <w:jc w:val="left"/>
              <w:rPr>
                <w:snapToGrid w:val="0"/>
              </w:rPr>
            </w:pPr>
            <w:r w:rsidRPr="003A3426">
              <w:rPr>
                <w:snapToGrid w:val="0"/>
              </w:rPr>
              <w:t>Long Term</w:t>
            </w:r>
          </w:p>
        </w:tc>
      </w:tr>
      <w:tr w:rsidR="006829C2" w:rsidRPr="003A3426" w14:paraId="19FC8B87"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43D1179" w14:textId="39D6BD34" w:rsidR="006829C2" w:rsidRPr="003A3426" w:rsidRDefault="006829C2" w:rsidP="002A74A0">
            <w:pPr>
              <w:jc w:val="left"/>
              <w:rPr>
                <w:snapToGrid w:val="0"/>
              </w:rPr>
            </w:pPr>
            <w:r>
              <w:rPr>
                <w:snapToGrid w:val="0"/>
              </w:rPr>
              <w:t>MARTA</w:t>
            </w:r>
          </w:p>
        </w:tc>
        <w:tc>
          <w:tcPr>
            <w:tcW w:w="5449" w:type="dxa"/>
            <w:tcBorders>
              <w:top w:val="single" w:sz="6" w:space="0" w:color="auto"/>
              <w:left w:val="single" w:sz="6" w:space="0" w:color="auto"/>
              <w:bottom w:val="single" w:sz="6" w:space="0" w:color="auto"/>
              <w:right w:val="single" w:sz="6" w:space="0" w:color="auto"/>
            </w:tcBorders>
          </w:tcPr>
          <w:p w14:paraId="65D43B87" w14:textId="7E253F0A" w:rsidR="006829C2" w:rsidRPr="003A3426" w:rsidRDefault="006829C2" w:rsidP="002A74A0">
            <w:pPr>
              <w:jc w:val="left"/>
              <w:rPr>
                <w:snapToGrid w:val="0"/>
              </w:rPr>
            </w:pPr>
            <w:r>
              <w:rPr>
                <w:snapToGrid w:val="0"/>
              </w:rPr>
              <w:t>Metropolitan Atlanta Rapid Transit Authority</w:t>
            </w:r>
          </w:p>
        </w:tc>
      </w:tr>
      <w:tr w:rsidR="006829C2" w:rsidRPr="003A3426" w14:paraId="3AD253B2"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08817996" w14:textId="75F069F3" w:rsidR="006829C2" w:rsidRPr="003A3426" w:rsidRDefault="006829C2" w:rsidP="002A74A0">
            <w:pPr>
              <w:jc w:val="left"/>
              <w:rPr>
                <w:snapToGrid w:val="0"/>
              </w:rPr>
            </w:pPr>
            <w:r>
              <w:rPr>
                <w:snapToGrid w:val="0"/>
              </w:rPr>
              <w:t>MECS</w:t>
            </w:r>
          </w:p>
        </w:tc>
        <w:tc>
          <w:tcPr>
            <w:tcW w:w="5449" w:type="dxa"/>
            <w:tcBorders>
              <w:top w:val="single" w:sz="6" w:space="0" w:color="auto"/>
              <w:left w:val="single" w:sz="6" w:space="0" w:color="auto"/>
              <w:bottom w:val="single" w:sz="6" w:space="0" w:color="auto"/>
              <w:right w:val="single" w:sz="6" w:space="0" w:color="auto"/>
            </w:tcBorders>
          </w:tcPr>
          <w:p w14:paraId="6A22242A" w14:textId="231D9148" w:rsidR="006829C2" w:rsidRPr="003A3426" w:rsidRDefault="006829C2" w:rsidP="002A74A0">
            <w:pPr>
              <w:jc w:val="left"/>
              <w:rPr>
                <w:snapToGrid w:val="0"/>
              </w:rPr>
            </w:pPr>
            <w:r>
              <w:rPr>
                <w:snapToGrid w:val="0"/>
              </w:rPr>
              <w:t>Manufacturing Energy Consumption Survey</w:t>
            </w:r>
          </w:p>
        </w:tc>
      </w:tr>
      <w:tr w:rsidR="001A03FE" w:rsidRPr="003A3426" w14:paraId="1F0AC897"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61B56D7" w14:textId="6F864E71" w:rsidR="001A03FE" w:rsidRDefault="001A03FE" w:rsidP="002A74A0">
            <w:pPr>
              <w:jc w:val="left"/>
              <w:rPr>
                <w:snapToGrid w:val="0"/>
              </w:rPr>
            </w:pPr>
            <w:r>
              <w:rPr>
                <w:snapToGrid w:val="0"/>
              </w:rPr>
              <w:t>MPD</w:t>
            </w:r>
          </w:p>
        </w:tc>
        <w:tc>
          <w:tcPr>
            <w:tcW w:w="5449" w:type="dxa"/>
            <w:tcBorders>
              <w:top w:val="single" w:sz="6" w:space="0" w:color="auto"/>
              <w:left w:val="single" w:sz="6" w:space="0" w:color="auto"/>
              <w:bottom w:val="single" w:sz="6" w:space="0" w:color="auto"/>
              <w:right w:val="single" w:sz="6" w:space="0" w:color="auto"/>
            </w:tcBorders>
          </w:tcPr>
          <w:p w14:paraId="71DF4FF1" w14:textId="63998C96" w:rsidR="001A03FE" w:rsidRDefault="001A03FE" w:rsidP="002A74A0">
            <w:pPr>
              <w:jc w:val="left"/>
              <w:rPr>
                <w:snapToGrid w:val="0"/>
              </w:rPr>
            </w:pPr>
            <w:r>
              <w:rPr>
                <w:snapToGrid w:val="0"/>
              </w:rPr>
              <w:t>Met</w:t>
            </w:r>
            <w:r w:rsidR="000155D1">
              <w:rPr>
                <w:snapToGrid w:val="0"/>
              </w:rPr>
              <w:t>r</w:t>
            </w:r>
            <w:r>
              <w:rPr>
                <w:snapToGrid w:val="0"/>
              </w:rPr>
              <w:t>i</w:t>
            </w:r>
            <w:r w:rsidR="000155D1">
              <w:rPr>
                <w:snapToGrid w:val="0"/>
              </w:rPr>
              <w:t>x</w:t>
            </w:r>
            <w:r>
              <w:rPr>
                <w:snapToGrid w:val="0"/>
              </w:rPr>
              <w:t xml:space="preserve"> Peak Demand</w:t>
            </w:r>
            <w:r w:rsidR="000155D1">
              <w:rPr>
                <w:snapToGrid w:val="0"/>
              </w:rPr>
              <w:t xml:space="preserve"> model</w:t>
            </w:r>
          </w:p>
        </w:tc>
      </w:tr>
      <w:tr w:rsidR="006829C2" w:rsidRPr="003A3426" w14:paraId="07521913"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31E1B7D8" w14:textId="405B3054" w:rsidR="006829C2" w:rsidRPr="003A3426" w:rsidRDefault="006829C2" w:rsidP="002A74A0">
            <w:pPr>
              <w:jc w:val="left"/>
              <w:rPr>
                <w:snapToGrid w:val="0"/>
              </w:rPr>
            </w:pPr>
            <w:r w:rsidRPr="003A3426">
              <w:rPr>
                <w:snapToGrid w:val="0"/>
              </w:rPr>
              <w:lastRenderedPageBreak/>
              <w:t>NAICS</w:t>
            </w:r>
          </w:p>
        </w:tc>
        <w:tc>
          <w:tcPr>
            <w:tcW w:w="5449" w:type="dxa"/>
            <w:tcBorders>
              <w:top w:val="single" w:sz="6" w:space="0" w:color="auto"/>
              <w:left w:val="single" w:sz="6" w:space="0" w:color="auto"/>
              <w:bottom w:val="single" w:sz="6" w:space="0" w:color="auto"/>
              <w:right w:val="single" w:sz="6" w:space="0" w:color="auto"/>
            </w:tcBorders>
          </w:tcPr>
          <w:p w14:paraId="3B56ADB0" w14:textId="0559D0B3" w:rsidR="006829C2" w:rsidRPr="003A3426" w:rsidRDefault="006829C2" w:rsidP="002A74A0">
            <w:pPr>
              <w:jc w:val="left"/>
              <w:rPr>
                <w:snapToGrid w:val="0"/>
              </w:rPr>
            </w:pPr>
            <w:r w:rsidRPr="003A3426">
              <w:rPr>
                <w:snapToGrid w:val="0"/>
              </w:rPr>
              <w:t>North American Industry Classification System</w:t>
            </w:r>
          </w:p>
        </w:tc>
      </w:tr>
      <w:tr w:rsidR="006829C2" w:rsidRPr="003A3426" w14:paraId="7C826297"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398A319" w14:textId="61A80FC2" w:rsidR="006829C2" w:rsidRPr="003A3426" w:rsidRDefault="006829C2" w:rsidP="002A74A0">
            <w:pPr>
              <w:jc w:val="left"/>
              <w:rPr>
                <w:snapToGrid w:val="0"/>
              </w:rPr>
            </w:pPr>
            <w:r>
              <w:rPr>
                <w:snapToGrid w:val="0"/>
              </w:rPr>
              <w:t>NCP</w:t>
            </w:r>
          </w:p>
        </w:tc>
        <w:tc>
          <w:tcPr>
            <w:tcW w:w="5449" w:type="dxa"/>
            <w:tcBorders>
              <w:top w:val="single" w:sz="6" w:space="0" w:color="auto"/>
              <w:left w:val="single" w:sz="6" w:space="0" w:color="auto"/>
              <w:bottom w:val="single" w:sz="6" w:space="0" w:color="auto"/>
              <w:right w:val="single" w:sz="6" w:space="0" w:color="auto"/>
            </w:tcBorders>
          </w:tcPr>
          <w:p w14:paraId="41B5F4F0" w14:textId="0771702E" w:rsidR="006829C2" w:rsidRPr="003A3426" w:rsidRDefault="006829C2" w:rsidP="002A74A0">
            <w:pPr>
              <w:jc w:val="left"/>
              <w:rPr>
                <w:snapToGrid w:val="0"/>
              </w:rPr>
            </w:pPr>
            <w:r>
              <w:rPr>
                <w:snapToGrid w:val="0"/>
              </w:rPr>
              <w:t>Non-Coincident Peak</w:t>
            </w:r>
          </w:p>
        </w:tc>
      </w:tr>
      <w:tr w:rsidR="00C92DC1" w:rsidRPr="003A3426" w14:paraId="55A9E3E2"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5430C4E5" w14:textId="418276A3" w:rsidR="00C92DC1" w:rsidRPr="003A3426" w:rsidRDefault="00C92DC1" w:rsidP="002A74A0">
            <w:pPr>
              <w:jc w:val="left"/>
              <w:rPr>
                <w:snapToGrid w:val="0"/>
              </w:rPr>
            </w:pPr>
            <w:r w:rsidRPr="003A3426">
              <w:rPr>
                <w:snapToGrid w:val="0"/>
              </w:rPr>
              <w:t>RECS</w:t>
            </w:r>
          </w:p>
        </w:tc>
        <w:tc>
          <w:tcPr>
            <w:tcW w:w="5449" w:type="dxa"/>
            <w:tcBorders>
              <w:top w:val="single" w:sz="6" w:space="0" w:color="auto"/>
              <w:left w:val="single" w:sz="6" w:space="0" w:color="auto"/>
              <w:bottom w:val="single" w:sz="6" w:space="0" w:color="auto"/>
              <w:right w:val="single" w:sz="6" w:space="0" w:color="auto"/>
            </w:tcBorders>
          </w:tcPr>
          <w:p w14:paraId="6DFE73B5" w14:textId="450E1638" w:rsidR="00C92DC1" w:rsidRPr="003A3426" w:rsidRDefault="00C92DC1" w:rsidP="002A74A0">
            <w:pPr>
              <w:jc w:val="left"/>
              <w:rPr>
                <w:snapToGrid w:val="0"/>
              </w:rPr>
            </w:pPr>
            <w:r w:rsidRPr="003A3426">
              <w:rPr>
                <w:snapToGrid w:val="0"/>
              </w:rPr>
              <w:t>Residential Energy Consumption Survey</w:t>
            </w:r>
          </w:p>
        </w:tc>
      </w:tr>
      <w:tr w:rsidR="00C92DC1" w:rsidRPr="003A3426" w14:paraId="6C312200"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1983C20" w14:textId="4877355D" w:rsidR="00C92DC1" w:rsidRPr="003A3426" w:rsidRDefault="00C92DC1" w:rsidP="002A74A0">
            <w:pPr>
              <w:jc w:val="left"/>
              <w:rPr>
                <w:snapToGrid w:val="0"/>
              </w:rPr>
            </w:pPr>
            <w:r w:rsidRPr="003A3426">
              <w:rPr>
                <w:snapToGrid w:val="0"/>
              </w:rPr>
              <w:t>RTP</w:t>
            </w:r>
          </w:p>
        </w:tc>
        <w:tc>
          <w:tcPr>
            <w:tcW w:w="5449" w:type="dxa"/>
            <w:tcBorders>
              <w:top w:val="single" w:sz="6" w:space="0" w:color="auto"/>
              <w:left w:val="single" w:sz="6" w:space="0" w:color="auto"/>
              <w:bottom w:val="single" w:sz="6" w:space="0" w:color="auto"/>
              <w:right w:val="single" w:sz="6" w:space="0" w:color="auto"/>
            </w:tcBorders>
          </w:tcPr>
          <w:p w14:paraId="78478E75" w14:textId="20471484" w:rsidR="00C92DC1" w:rsidRPr="003A3426" w:rsidRDefault="00C92DC1" w:rsidP="002A74A0">
            <w:pPr>
              <w:jc w:val="left"/>
              <w:rPr>
                <w:snapToGrid w:val="0"/>
              </w:rPr>
            </w:pPr>
            <w:r w:rsidRPr="003A3426">
              <w:rPr>
                <w:snapToGrid w:val="0"/>
              </w:rPr>
              <w:t>Real Time Pricing</w:t>
            </w:r>
          </w:p>
        </w:tc>
      </w:tr>
      <w:tr w:rsidR="00C92DC1" w:rsidRPr="003A3426" w14:paraId="28C00CED"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620F1F2" w14:textId="61EADCB9" w:rsidR="00C92DC1" w:rsidRPr="00596BE6" w:rsidRDefault="00C92DC1" w:rsidP="002A74A0">
            <w:pPr>
              <w:jc w:val="left"/>
              <w:rPr>
                <w:snapToGrid w:val="0"/>
              </w:rPr>
            </w:pPr>
            <w:r w:rsidRPr="003A3426">
              <w:rPr>
                <w:snapToGrid w:val="0"/>
              </w:rPr>
              <w:t>SCS</w:t>
            </w:r>
          </w:p>
        </w:tc>
        <w:tc>
          <w:tcPr>
            <w:tcW w:w="5449" w:type="dxa"/>
            <w:tcBorders>
              <w:top w:val="single" w:sz="6" w:space="0" w:color="auto"/>
              <w:left w:val="single" w:sz="6" w:space="0" w:color="auto"/>
              <w:bottom w:val="single" w:sz="6" w:space="0" w:color="auto"/>
              <w:right w:val="single" w:sz="6" w:space="0" w:color="auto"/>
            </w:tcBorders>
          </w:tcPr>
          <w:p w14:paraId="68EEB5C4" w14:textId="0A229E12" w:rsidR="00C92DC1" w:rsidRPr="00596BE6" w:rsidRDefault="00C92DC1" w:rsidP="002A74A0">
            <w:pPr>
              <w:jc w:val="left"/>
              <w:rPr>
                <w:snapToGrid w:val="0"/>
              </w:rPr>
            </w:pPr>
            <w:r w:rsidRPr="003A3426">
              <w:rPr>
                <w:snapToGrid w:val="0"/>
              </w:rPr>
              <w:t>Southern Company Services</w:t>
            </w:r>
          </w:p>
        </w:tc>
      </w:tr>
      <w:tr w:rsidR="00C92DC1" w:rsidRPr="003A3426" w14:paraId="7775A8E9"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shd w:val="clear" w:color="auto" w:fill="auto"/>
          </w:tcPr>
          <w:p w14:paraId="6ABCA913" w14:textId="6D16CB7D" w:rsidR="00C92DC1" w:rsidRPr="003A3426" w:rsidRDefault="00C92DC1" w:rsidP="002A74A0">
            <w:pPr>
              <w:jc w:val="left"/>
              <w:rPr>
                <w:snapToGrid w:val="0"/>
              </w:rPr>
            </w:pPr>
            <w:r>
              <w:rPr>
                <w:snapToGrid w:val="0"/>
              </w:rPr>
              <w:t>SEER</w:t>
            </w:r>
          </w:p>
        </w:tc>
        <w:tc>
          <w:tcPr>
            <w:tcW w:w="5449" w:type="dxa"/>
            <w:tcBorders>
              <w:top w:val="single" w:sz="6" w:space="0" w:color="auto"/>
              <w:left w:val="single" w:sz="6" w:space="0" w:color="auto"/>
              <w:bottom w:val="single" w:sz="6" w:space="0" w:color="auto"/>
              <w:right w:val="single" w:sz="6" w:space="0" w:color="auto"/>
            </w:tcBorders>
            <w:shd w:val="clear" w:color="auto" w:fill="auto"/>
          </w:tcPr>
          <w:p w14:paraId="62AF3AF5" w14:textId="1E896808" w:rsidR="00C92DC1" w:rsidRPr="003A3426" w:rsidRDefault="00C92DC1" w:rsidP="002A74A0">
            <w:pPr>
              <w:jc w:val="left"/>
              <w:rPr>
                <w:snapToGrid w:val="0"/>
              </w:rPr>
            </w:pPr>
            <w:r>
              <w:rPr>
                <w:snapToGrid w:val="0"/>
              </w:rPr>
              <w:t>Seasonal Energy Efficiency Ratio</w:t>
            </w:r>
          </w:p>
        </w:tc>
      </w:tr>
      <w:tr w:rsidR="00C92DC1" w:rsidRPr="003A3426" w14:paraId="75E26A30"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77DDDFAA" w14:textId="1868CADC" w:rsidR="00C92DC1" w:rsidRPr="003A3426" w:rsidRDefault="00C92DC1" w:rsidP="002A74A0">
            <w:pPr>
              <w:jc w:val="left"/>
              <w:rPr>
                <w:snapToGrid w:val="0"/>
              </w:rPr>
            </w:pPr>
            <w:r w:rsidRPr="003A3426">
              <w:rPr>
                <w:snapToGrid w:val="0"/>
              </w:rPr>
              <w:t>ST</w:t>
            </w:r>
          </w:p>
        </w:tc>
        <w:tc>
          <w:tcPr>
            <w:tcW w:w="5449" w:type="dxa"/>
            <w:tcBorders>
              <w:top w:val="single" w:sz="6" w:space="0" w:color="auto"/>
              <w:left w:val="single" w:sz="6" w:space="0" w:color="auto"/>
              <w:bottom w:val="single" w:sz="6" w:space="0" w:color="auto"/>
              <w:right w:val="single" w:sz="6" w:space="0" w:color="auto"/>
            </w:tcBorders>
          </w:tcPr>
          <w:p w14:paraId="15DA61B0" w14:textId="073B0622" w:rsidR="00C92DC1" w:rsidRPr="003A3426" w:rsidRDefault="00C92DC1" w:rsidP="002A74A0">
            <w:pPr>
              <w:jc w:val="left"/>
              <w:rPr>
                <w:snapToGrid w:val="0"/>
              </w:rPr>
            </w:pPr>
            <w:r w:rsidRPr="003A3426">
              <w:rPr>
                <w:snapToGrid w:val="0"/>
              </w:rPr>
              <w:t xml:space="preserve">Short Term </w:t>
            </w:r>
          </w:p>
        </w:tc>
      </w:tr>
      <w:tr w:rsidR="00C92DC1" w:rsidRPr="003A3426" w14:paraId="4078E678"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6360D5F3" w14:textId="7E670045" w:rsidR="00C92DC1" w:rsidRPr="003A3426" w:rsidRDefault="00C92DC1" w:rsidP="002A74A0">
            <w:pPr>
              <w:jc w:val="left"/>
              <w:rPr>
                <w:snapToGrid w:val="0"/>
              </w:rPr>
            </w:pPr>
            <w:r w:rsidRPr="003A3426">
              <w:rPr>
                <w:snapToGrid w:val="0"/>
              </w:rPr>
              <w:t>TOU</w:t>
            </w:r>
          </w:p>
        </w:tc>
        <w:tc>
          <w:tcPr>
            <w:tcW w:w="5449" w:type="dxa"/>
            <w:tcBorders>
              <w:top w:val="single" w:sz="6" w:space="0" w:color="auto"/>
              <w:left w:val="single" w:sz="6" w:space="0" w:color="auto"/>
              <w:bottom w:val="single" w:sz="6" w:space="0" w:color="auto"/>
              <w:right w:val="single" w:sz="6" w:space="0" w:color="auto"/>
            </w:tcBorders>
          </w:tcPr>
          <w:p w14:paraId="14FCC75D" w14:textId="50824091" w:rsidR="00C92DC1" w:rsidRPr="003A3426" w:rsidRDefault="00C92DC1" w:rsidP="002A74A0">
            <w:pPr>
              <w:jc w:val="left"/>
              <w:rPr>
                <w:snapToGrid w:val="0"/>
              </w:rPr>
            </w:pPr>
            <w:r w:rsidRPr="003A3426">
              <w:rPr>
                <w:snapToGrid w:val="0"/>
              </w:rPr>
              <w:t xml:space="preserve">Time of Use </w:t>
            </w:r>
          </w:p>
        </w:tc>
      </w:tr>
      <w:tr w:rsidR="00C92DC1" w:rsidRPr="003A3426" w14:paraId="6C58755F"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6B7729E4" w14:textId="2FF3CAED" w:rsidR="00C92DC1" w:rsidRPr="003A3426" w:rsidRDefault="00C92DC1" w:rsidP="002A74A0">
            <w:pPr>
              <w:jc w:val="left"/>
              <w:rPr>
                <w:snapToGrid w:val="0"/>
              </w:rPr>
            </w:pPr>
            <w:r w:rsidRPr="003A3426">
              <w:rPr>
                <w:snapToGrid w:val="0"/>
              </w:rPr>
              <w:t>UEC</w:t>
            </w:r>
          </w:p>
        </w:tc>
        <w:tc>
          <w:tcPr>
            <w:tcW w:w="5449" w:type="dxa"/>
            <w:tcBorders>
              <w:top w:val="single" w:sz="6" w:space="0" w:color="auto"/>
              <w:left w:val="single" w:sz="6" w:space="0" w:color="auto"/>
              <w:bottom w:val="single" w:sz="6" w:space="0" w:color="auto"/>
              <w:right w:val="single" w:sz="6" w:space="0" w:color="auto"/>
            </w:tcBorders>
          </w:tcPr>
          <w:p w14:paraId="558F0FA8" w14:textId="36BCAE2E" w:rsidR="00C92DC1" w:rsidRPr="003A3426" w:rsidRDefault="00C92DC1" w:rsidP="002A74A0">
            <w:pPr>
              <w:jc w:val="left"/>
              <w:rPr>
                <w:snapToGrid w:val="0"/>
              </w:rPr>
            </w:pPr>
            <w:r w:rsidRPr="003A3426">
              <w:rPr>
                <w:snapToGrid w:val="0"/>
              </w:rPr>
              <w:t xml:space="preserve">Unit Energy Consumption </w:t>
            </w:r>
          </w:p>
        </w:tc>
      </w:tr>
      <w:tr w:rsidR="00C92DC1" w:rsidRPr="003A3426" w14:paraId="340DC888" w14:textId="77777777" w:rsidTr="00775830">
        <w:trPr>
          <w:trHeight w:val="305"/>
        </w:trPr>
        <w:tc>
          <w:tcPr>
            <w:tcW w:w="2152" w:type="dxa"/>
            <w:tcBorders>
              <w:top w:val="single" w:sz="6" w:space="0" w:color="auto"/>
              <w:left w:val="single" w:sz="6" w:space="0" w:color="auto"/>
              <w:bottom w:val="single" w:sz="6" w:space="0" w:color="auto"/>
              <w:right w:val="single" w:sz="6" w:space="0" w:color="auto"/>
            </w:tcBorders>
          </w:tcPr>
          <w:p w14:paraId="189BB972" w14:textId="7F72EA82" w:rsidR="00C92DC1" w:rsidRPr="003A3426" w:rsidRDefault="00C92DC1" w:rsidP="002A74A0">
            <w:pPr>
              <w:jc w:val="left"/>
              <w:rPr>
                <w:snapToGrid w:val="0"/>
              </w:rPr>
            </w:pPr>
            <w:r w:rsidRPr="003A3426">
              <w:rPr>
                <w:snapToGrid w:val="0"/>
              </w:rPr>
              <w:t>UI</w:t>
            </w:r>
          </w:p>
        </w:tc>
        <w:tc>
          <w:tcPr>
            <w:tcW w:w="5449" w:type="dxa"/>
            <w:tcBorders>
              <w:top w:val="single" w:sz="6" w:space="0" w:color="auto"/>
              <w:left w:val="single" w:sz="6" w:space="0" w:color="auto"/>
              <w:bottom w:val="single" w:sz="6" w:space="0" w:color="auto"/>
              <w:right w:val="single" w:sz="6" w:space="0" w:color="auto"/>
            </w:tcBorders>
          </w:tcPr>
          <w:p w14:paraId="29260EAD" w14:textId="769B6839" w:rsidR="00C92DC1" w:rsidRPr="003A3426" w:rsidRDefault="00C92DC1" w:rsidP="002A74A0">
            <w:pPr>
              <w:jc w:val="left"/>
              <w:rPr>
                <w:snapToGrid w:val="0"/>
              </w:rPr>
            </w:pPr>
            <w:r>
              <w:rPr>
                <w:snapToGrid w:val="0"/>
              </w:rPr>
              <w:t>Usage Index</w:t>
            </w:r>
          </w:p>
        </w:tc>
      </w:tr>
    </w:tbl>
    <w:p w14:paraId="4D8EC162" w14:textId="77777777" w:rsidR="00A40E5E" w:rsidRPr="003A3426" w:rsidRDefault="00A40E5E" w:rsidP="00A40E5E"/>
    <w:p w14:paraId="5573F2CA" w14:textId="77777777" w:rsidR="00A40E5E" w:rsidRPr="003A3426" w:rsidRDefault="00A40E5E" w:rsidP="00593CB0">
      <w:pPr>
        <w:jc w:val="both"/>
      </w:pPr>
    </w:p>
    <w:p w14:paraId="5C360121" w14:textId="77777777" w:rsidR="00A40E5E" w:rsidRPr="00A40E5E" w:rsidRDefault="00A40E5E" w:rsidP="00A40E5E">
      <w:pPr>
        <w:spacing w:line="360" w:lineRule="auto"/>
        <w:jc w:val="left"/>
        <w:rPr>
          <w:b w:val="0"/>
        </w:rPr>
      </w:pPr>
    </w:p>
    <w:p w14:paraId="1ED62F59" w14:textId="77777777" w:rsidR="00A40E5E" w:rsidRPr="00A40E5E" w:rsidRDefault="00A40E5E" w:rsidP="00A40E5E">
      <w:pPr>
        <w:spacing w:line="360" w:lineRule="auto"/>
        <w:jc w:val="left"/>
        <w:rPr>
          <w:b w:val="0"/>
        </w:rPr>
      </w:pPr>
    </w:p>
    <w:sectPr w:rsidR="00A40E5E" w:rsidRPr="00A40E5E" w:rsidSect="00E01D42">
      <w:footerReference w:type="default" r:id="rId1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C588B" w14:textId="77777777" w:rsidR="00402193" w:rsidRDefault="00402193" w:rsidP="00F92700">
      <w:r>
        <w:separator/>
      </w:r>
    </w:p>
  </w:endnote>
  <w:endnote w:type="continuationSeparator" w:id="0">
    <w:p w14:paraId="0EBA846A" w14:textId="77777777" w:rsidR="00402193" w:rsidRDefault="00402193" w:rsidP="00F92700">
      <w:r>
        <w:continuationSeparator/>
      </w:r>
    </w:p>
  </w:endnote>
  <w:endnote w:type="continuationNotice" w:id="1">
    <w:p w14:paraId="718186C3" w14:textId="77777777" w:rsidR="00402193" w:rsidRDefault="00402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8C95C" w14:textId="4063C0E9" w:rsidR="00E773B3" w:rsidRDefault="00E773B3">
    <w:pPr>
      <w:pStyle w:val="Footer"/>
    </w:pPr>
  </w:p>
  <w:p w14:paraId="4E21B346" w14:textId="77777777" w:rsidR="00E773B3" w:rsidRPr="00946003" w:rsidRDefault="00E773B3" w:rsidP="0094600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8232" w14:textId="34FC3EE6" w:rsidR="005C5616" w:rsidRDefault="005C5616" w:rsidP="0025745A">
    <w:pPr>
      <w:pStyle w:val="Footer"/>
    </w:pPr>
    <w:r>
      <w:t xml:space="preserve">Section 8 - Page </w:t>
    </w:r>
    <w:r>
      <w:fldChar w:fldCharType="begin"/>
    </w:r>
    <w:r>
      <w:instrText>PAGE</w:instrText>
    </w:r>
    <w:r>
      <w:fldChar w:fldCharType="separate"/>
    </w:r>
    <w:r>
      <w:rPr>
        <w:noProof/>
      </w:rPr>
      <w:t>104</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750FE" w14:textId="0E05DB54" w:rsidR="00E773B3" w:rsidRDefault="00E773B3" w:rsidP="00B04F4E">
    <w:pPr>
      <w:pStyle w:val="Footer"/>
      <w:rPr>
        <w:rStyle w:val="PageNumber"/>
      </w:rPr>
    </w:pPr>
    <w:r>
      <w:rPr>
        <w:rStyle w:val="PageNumber"/>
      </w:rPr>
      <w:t xml:space="preserve">Section </w:t>
    </w:r>
    <w:r w:rsidR="00ED4816">
      <w:rPr>
        <w:rStyle w:val="PageNumber"/>
      </w:rPr>
      <w:t>8</w:t>
    </w:r>
    <w:r w:rsidR="00685E92">
      <w:rPr>
        <w:rStyle w:val="PageNumber"/>
      </w:rPr>
      <w:t xml:space="preserve"> </w:t>
    </w:r>
    <w:r>
      <w:rPr>
        <w:rStyle w:val="PageNumber"/>
      </w:rP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10E7A" w14:textId="46453EE0" w:rsidR="009A7107" w:rsidRDefault="009A7107" w:rsidP="00B04F4E">
    <w:pPr>
      <w:pStyle w:val="Footer"/>
      <w:rPr>
        <w:rStyle w:val="PageNumber"/>
      </w:rPr>
    </w:pPr>
    <w:r>
      <w:rPr>
        <w:rStyle w:val="PageNumber"/>
      </w:rPr>
      <w:t xml:space="preserve">Section 9 - Page </w:t>
    </w: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52AD3" w14:textId="1CCAE279" w:rsidR="00E773B3" w:rsidRDefault="00E773B3" w:rsidP="00966D80">
    <w:pPr>
      <w:pStyle w:val="Footer"/>
      <w:rPr>
        <w:rStyle w:val="PageNumber"/>
      </w:rPr>
    </w:pPr>
    <w:r>
      <w:rPr>
        <w:rStyle w:val="PageNumber"/>
      </w:rPr>
      <w:t xml:space="preserve">Section </w:t>
    </w:r>
    <w:r w:rsidR="00330771">
      <w:rPr>
        <w:rStyle w:val="PageNumber"/>
      </w:rPr>
      <w:t>10</w:t>
    </w:r>
    <w:r>
      <w:rPr>
        <w:rStyle w:val="PageNumber"/>
      </w:rPr>
      <w:t xml:space="preserve"> - Page </w:t>
    </w:r>
    <w:r>
      <w:rPr>
        <w:rStyle w:val="PageNumber"/>
      </w:rPr>
      <w:fldChar w:fldCharType="begin"/>
    </w:r>
    <w:r>
      <w:rPr>
        <w:rStyle w:val="PageNumber"/>
      </w:rPr>
      <w:instrText xml:space="preserve"> PAGE </w:instrText>
    </w:r>
    <w:r>
      <w:rPr>
        <w:rStyle w:val="PageNumber"/>
      </w:rPr>
      <w:fldChar w:fldCharType="separate"/>
    </w:r>
    <w:r>
      <w:rPr>
        <w:rStyle w:val="PageNumber"/>
        <w:noProof/>
      </w:rPr>
      <w:t>183</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D1AAE" w14:textId="04050B1D" w:rsidR="00E773B3" w:rsidRDefault="00E773B3" w:rsidP="00355CC3">
    <w:pPr>
      <w:pStyle w:val="Footer"/>
    </w:pPr>
    <w:r>
      <w:t xml:space="preserve">Section </w:t>
    </w:r>
    <w:r w:rsidR="004364E8">
      <w:t xml:space="preserve">11 </w:t>
    </w:r>
    <w:r>
      <w:t xml:space="preserve">– Page </w:t>
    </w:r>
    <w:sdt>
      <w:sdtPr>
        <w:id w:val="212958287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188</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D0339" w14:textId="77777777" w:rsidR="00E773B3" w:rsidRDefault="00E150E3">
    <w:pPr>
      <w:pStyle w:val="Footer"/>
    </w:pPr>
    <w:sdt>
      <w:sdtPr>
        <w:id w:val="-608423235"/>
        <w:docPartObj>
          <w:docPartGallery w:val="Page Numbers (Bottom of Page)"/>
          <w:docPartUnique/>
        </w:docPartObj>
      </w:sdtPr>
      <w:sdtEndPr>
        <w:rPr>
          <w:noProof/>
        </w:rPr>
      </w:sdtEndPr>
      <w:sdtContent>
        <w:r w:rsidR="00E773B3">
          <w:fldChar w:fldCharType="begin"/>
        </w:r>
        <w:r w:rsidR="00E773B3">
          <w:instrText xml:space="preserve"> PAGE   \* MERGEFORMAT </w:instrText>
        </w:r>
        <w:r w:rsidR="00E773B3">
          <w:fldChar w:fldCharType="separate"/>
        </w:r>
        <w:r w:rsidR="00E773B3">
          <w:rPr>
            <w:noProof/>
          </w:rPr>
          <w:t>iii</w:t>
        </w:r>
        <w:r w:rsidR="00E773B3">
          <w:rPr>
            <w:noProof/>
          </w:rPr>
          <w:fldChar w:fldCharType="end"/>
        </w:r>
      </w:sdtContent>
    </w:sdt>
  </w:p>
  <w:p w14:paraId="33215FAD" w14:textId="77777777" w:rsidR="00E773B3" w:rsidRPr="00946003" w:rsidRDefault="00E773B3" w:rsidP="009460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0A78" w14:textId="77777777" w:rsidR="00E773B3" w:rsidRDefault="00E773B3" w:rsidP="001371A4">
    <w:pPr>
      <w:pStyle w:val="Footer"/>
    </w:pPr>
    <w:r>
      <w:t xml:space="preserve">Section 1 – Page </w:t>
    </w:r>
    <w:sdt>
      <w:sdtPr>
        <w:id w:val="13035751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4</w:t>
        </w:r>
        <w:r>
          <w:rPr>
            <w:noProof/>
          </w:rPr>
          <w:fldChar w:fldCharType="end"/>
        </w:r>
      </w:sdtContent>
    </w:sdt>
  </w:p>
  <w:p w14:paraId="17D979E8" w14:textId="77777777" w:rsidR="00E773B3" w:rsidRPr="00946003" w:rsidRDefault="00E773B3" w:rsidP="009460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4EC6C" w14:textId="77777777" w:rsidR="00E773B3" w:rsidRDefault="00E773B3">
    <w:pPr>
      <w:pStyle w:val="Footer"/>
    </w:pPr>
    <w:r>
      <w:t xml:space="preserve">Section 2 – Page </w:t>
    </w:r>
    <w:sdt>
      <w:sdtPr>
        <w:id w:val="-30455691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13</w:t>
        </w:r>
        <w:r>
          <w:rPr>
            <w:noProof/>
          </w:rPr>
          <w:fldChar w:fldCharType="end"/>
        </w:r>
      </w:sdtContent>
    </w:sdt>
  </w:p>
  <w:p w14:paraId="440E9F76" w14:textId="77777777" w:rsidR="00E773B3" w:rsidRDefault="00E773B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5AAAE" w14:textId="77777777" w:rsidR="00E773B3" w:rsidRDefault="00E773B3" w:rsidP="006B261E">
    <w:pPr>
      <w:pStyle w:val="Footer"/>
    </w:pPr>
    <w:r>
      <w:t xml:space="preserve"> Section 3 - Page </w:t>
    </w:r>
    <w:r>
      <w:fldChar w:fldCharType="begin"/>
    </w:r>
    <w:r>
      <w:instrText>PAGE</w:instrText>
    </w:r>
    <w:r>
      <w:fldChar w:fldCharType="separate"/>
    </w:r>
    <w:r>
      <w:rPr>
        <w:noProof/>
      </w:rPr>
      <w:t>18</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7929D" w14:textId="77777777" w:rsidR="00E773B3" w:rsidRDefault="00E773B3">
    <w:pPr>
      <w:pStyle w:val="Footer"/>
    </w:pPr>
    <w:r>
      <w:t xml:space="preserve">Section 4 – Page </w:t>
    </w:r>
    <w:sdt>
      <w:sdtPr>
        <w:id w:val="119641842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21</w:t>
        </w:r>
        <w:r>
          <w:rPr>
            <w:noProof/>
          </w:rPr>
          <w:fldChar w:fldCharType="end"/>
        </w:r>
      </w:sdtContent>
    </w:sdt>
  </w:p>
  <w:p w14:paraId="07305107" w14:textId="77777777" w:rsidR="00E773B3" w:rsidRDefault="00E773B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B2279" w14:textId="77777777" w:rsidR="00E773B3" w:rsidRDefault="00E773B3">
    <w:pPr>
      <w:pStyle w:val="Footer"/>
    </w:pPr>
    <w:r>
      <w:t xml:space="preserve">Section 5 – Page </w:t>
    </w:r>
    <w:sdt>
      <w:sdtPr>
        <w:id w:val="-85604528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74</w:t>
        </w:r>
        <w:r>
          <w:rPr>
            <w:noProof/>
          </w:rPr>
          <w:fldChar w:fldCharType="end"/>
        </w:r>
      </w:sdtContent>
    </w:sdt>
  </w:p>
  <w:p w14:paraId="72663C05" w14:textId="77777777" w:rsidR="00E773B3" w:rsidRDefault="00E773B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B3BD0" w14:textId="77777777" w:rsidR="00E773B3" w:rsidRDefault="00E773B3">
    <w:pPr>
      <w:pStyle w:val="Footer"/>
    </w:pPr>
    <w:r>
      <w:t xml:space="preserve">Section 6 – Page </w:t>
    </w:r>
    <w:sdt>
      <w:sdtPr>
        <w:id w:val="-214002614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98</w:t>
        </w:r>
        <w:r>
          <w:rPr>
            <w:noProof/>
          </w:rPr>
          <w:fldChar w:fldCharType="end"/>
        </w:r>
      </w:sdtContent>
    </w:sdt>
  </w:p>
  <w:p w14:paraId="5DD24293" w14:textId="77777777" w:rsidR="00E773B3" w:rsidRDefault="00E773B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B74" w14:textId="16A038DB" w:rsidR="00E773B3" w:rsidRDefault="00E773B3" w:rsidP="0025745A">
    <w:pPr>
      <w:pStyle w:val="Footer"/>
    </w:pPr>
    <w:r>
      <w:t xml:space="preserve">Section 7 - Page </w:t>
    </w:r>
    <w:r>
      <w:fldChar w:fldCharType="begin"/>
    </w:r>
    <w:r>
      <w:instrText>PAGE</w:instrText>
    </w:r>
    <w:r>
      <w:fldChar w:fldCharType="separate"/>
    </w:r>
    <w:r>
      <w:rPr>
        <w:noProof/>
      </w:rPr>
      <w:t>104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080B5" w14:textId="77777777" w:rsidR="00402193" w:rsidRDefault="00402193" w:rsidP="00F92700">
      <w:r>
        <w:separator/>
      </w:r>
    </w:p>
  </w:footnote>
  <w:footnote w:type="continuationSeparator" w:id="0">
    <w:p w14:paraId="3309BF9C" w14:textId="77777777" w:rsidR="00402193" w:rsidRDefault="00402193" w:rsidP="00F92700">
      <w:r>
        <w:continuationSeparator/>
      </w:r>
    </w:p>
  </w:footnote>
  <w:footnote w:type="continuationNotice" w:id="1">
    <w:p w14:paraId="1BDD6FCB" w14:textId="77777777" w:rsidR="00402193" w:rsidRDefault="00402193"/>
  </w:footnote>
  <w:footnote w:id="2">
    <w:p w14:paraId="24E9EC73" w14:textId="37685E63" w:rsidR="004F026C" w:rsidRPr="003A6F8A" w:rsidRDefault="004F026C" w:rsidP="003A6F8A">
      <w:pPr>
        <w:pStyle w:val="FootnoteText"/>
        <w:jc w:val="both"/>
        <w:rPr>
          <w:rFonts w:ascii="Arial" w:hAnsi="Arial"/>
        </w:rPr>
      </w:pPr>
      <w:r w:rsidRPr="003A6F8A">
        <w:rPr>
          <w:rStyle w:val="FootnoteReference"/>
          <w:rFonts w:ascii="Arial" w:hAnsi="Arial"/>
        </w:rPr>
        <w:footnoteRef/>
      </w:r>
      <w:r w:rsidRPr="003A6F8A">
        <w:rPr>
          <w:rFonts w:ascii="Arial" w:hAnsi="Arial"/>
        </w:rPr>
        <w:t xml:space="preserve"> </w:t>
      </w:r>
      <w:r w:rsidRPr="004F026C">
        <w:rPr>
          <w:rFonts w:ascii="Arial" w:hAnsi="Arial"/>
        </w:rPr>
        <w:t>The Budget 2025 Load and Energy Forecast is based on data from the Company’s large load economic development pipeline as of the end of Q2 2024. As such, facts, figures, and statements in this document focus on data through June 2024. Data through Q3 2024 are provided in the 2025 IRP Main Document. To the extent that Q3 2024 data impact potential requests in this 2025 IRP, the Company provides such context in the 2025 IRP Main Document.</w:t>
      </w:r>
    </w:p>
  </w:footnote>
  <w:footnote w:id="3">
    <w:p w14:paraId="36C92D18" w14:textId="0B28FB16" w:rsidR="00992EB0" w:rsidRPr="005A564E" w:rsidRDefault="00992EB0" w:rsidP="00992EB0">
      <w:pPr>
        <w:pStyle w:val="FootnoteText"/>
        <w:jc w:val="both"/>
        <w:rPr>
          <w:rFonts w:ascii="Arial" w:hAnsi="Arial"/>
        </w:rPr>
      </w:pPr>
      <w:r>
        <w:rPr>
          <w:rStyle w:val="FootnoteReference"/>
        </w:rPr>
        <w:footnoteRef/>
      </w:r>
      <w:r>
        <w:t xml:space="preserve"> </w:t>
      </w:r>
      <w:r w:rsidRPr="005A564E">
        <w:rPr>
          <w:rFonts w:ascii="Arial" w:hAnsi="Arial"/>
        </w:rPr>
        <w:t xml:space="preserve">Large load economic development projects represent those </w:t>
      </w:r>
      <w:r w:rsidRPr="005A564E">
        <w:rPr>
          <w:rFonts w:ascii="Arial" w:hAnsi="Arial"/>
          <w:i/>
          <w:iCs/>
        </w:rPr>
        <w:t>above</w:t>
      </w:r>
      <w:r w:rsidRPr="005A564E">
        <w:rPr>
          <w:rFonts w:ascii="Arial" w:hAnsi="Arial"/>
        </w:rPr>
        <w:t xml:space="preserve"> the Company’s organic load growth thresholds </w:t>
      </w:r>
      <w:r w:rsidR="004F026C">
        <w:rPr>
          <w:rFonts w:ascii="Arial" w:hAnsi="Arial"/>
        </w:rPr>
        <w:t xml:space="preserve">of 115 MW </w:t>
      </w:r>
      <w:r w:rsidRPr="005A564E">
        <w:rPr>
          <w:rFonts w:ascii="Arial" w:hAnsi="Arial"/>
        </w:rPr>
        <w:t xml:space="preserve">for commercial </w:t>
      </w:r>
      <w:r w:rsidR="004F026C">
        <w:rPr>
          <w:rFonts w:ascii="Arial" w:hAnsi="Arial"/>
        </w:rPr>
        <w:t xml:space="preserve">load </w:t>
      </w:r>
      <w:r w:rsidRPr="005A564E">
        <w:rPr>
          <w:rFonts w:ascii="Arial" w:hAnsi="Arial"/>
        </w:rPr>
        <w:t xml:space="preserve">and </w:t>
      </w:r>
      <w:r w:rsidR="004F026C">
        <w:rPr>
          <w:rFonts w:ascii="Arial" w:hAnsi="Arial"/>
        </w:rPr>
        <w:t xml:space="preserve">45 MW for </w:t>
      </w:r>
      <w:r w:rsidRPr="005A564E">
        <w:rPr>
          <w:rFonts w:ascii="Arial" w:hAnsi="Arial"/>
        </w:rPr>
        <w:t>industrial load.</w:t>
      </w:r>
    </w:p>
  </w:footnote>
  <w:footnote w:id="4">
    <w:p w14:paraId="08F8A8EC" w14:textId="164140B0" w:rsidR="00EF75A1" w:rsidRDefault="00EF75A1" w:rsidP="00F91BE2">
      <w:pPr>
        <w:pStyle w:val="FootnoteText"/>
        <w:jc w:val="both"/>
      </w:pPr>
      <w:r w:rsidRPr="00F91BE2">
        <w:rPr>
          <w:rFonts w:ascii="Arial" w:hAnsi="Arial"/>
          <w:vertAlign w:val="superscript"/>
        </w:rPr>
        <w:footnoteRef/>
      </w:r>
      <w:r w:rsidRPr="00F91BE2">
        <w:rPr>
          <w:rFonts w:ascii="Arial" w:hAnsi="Arial"/>
        </w:rPr>
        <w:t xml:space="preserve"> </w:t>
      </w:r>
      <w:r w:rsidR="00D605B6" w:rsidRPr="00F91BE2">
        <w:rPr>
          <w:rFonts w:ascii="Arial" w:hAnsi="Arial"/>
        </w:rPr>
        <w:t xml:space="preserve">Committed </w:t>
      </w:r>
      <w:r w:rsidR="00D605B6">
        <w:rPr>
          <w:rFonts w:ascii="Arial" w:hAnsi="Arial"/>
        </w:rPr>
        <w:t>large load projects</w:t>
      </w:r>
      <w:r w:rsidR="00D605B6" w:rsidRPr="00F91BE2">
        <w:rPr>
          <w:rFonts w:ascii="Arial" w:hAnsi="Arial"/>
        </w:rPr>
        <w:t xml:space="preserve"> have signed a </w:t>
      </w:r>
      <w:r w:rsidR="004F026C">
        <w:rPr>
          <w:rFonts w:ascii="Arial" w:hAnsi="Arial"/>
        </w:rPr>
        <w:t>R</w:t>
      </w:r>
      <w:r w:rsidR="00D605B6" w:rsidRPr="00F91BE2">
        <w:rPr>
          <w:rFonts w:ascii="Arial" w:hAnsi="Arial"/>
        </w:rPr>
        <w:t xml:space="preserve">equest for </w:t>
      </w:r>
      <w:r w:rsidR="004F026C">
        <w:rPr>
          <w:rFonts w:ascii="Arial" w:hAnsi="Arial"/>
        </w:rPr>
        <w:t>E</w:t>
      </w:r>
      <w:r w:rsidR="00D605B6" w:rsidRPr="00F91BE2">
        <w:rPr>
          <w:rFonts w:ascii="Arial" w:hAnsi="Arial"/>
        </w:rPr>
        <w:t xml:space="preserve">lectric </w:t>
      </w:r>
      <w:r w:rsidR="004F026C">
        <w:rPr>
          <w:rFonts w:ascii="Arial" w:hAnsi="Arial"/>
        </w:rPr>
        <w:t>S</w:t>
      </w:r>
      <w:r w:rsidR="00D605B6" w:rsidRPr="00F91BE2">
        <w:rPr>
          <w:rFonts w:ascii="Arial" w:hAnsi="Arial"/>
        </w:rPr>
        <w:t>ervice from Georgia Power.</w:t>
      </w:r>
      <w:r w:rsidR="00D605B6">
        <w:t xml:space="preserve"> </w:t>
      </w:r>
    </w:p>
  </w:footnote>
  <w:footnote w:id="5">
    <w:p w14:paraId="7150F2D8" w14:textId="205353E5" w:rsidR="003E651B" w:rsidRPr="00800910" w:rsidRDefault="003E651B" w:rsidP="00335E8A">
      <w:pPr>
        <w:pStyle w:val="FootnoteText"/>
        <w:jc w:val="left"/>
        <w:rPr>
          <w:rFonts w:ascii="Arial" w:hAnsi="Arial"/>
        </w:rPr>
      </w:pPr>
      <w:r w:rsidRPr="00800910">
        <w:rPr>
          <w:rStyle w:val="FootnoteReference"/>
          <w:rFonts w:ascii="Arial" w:hAnsi="Arial"/>
        </w:rPr>
        <w:footnoteRef/>
      </w:r>
      <w:r w:rsidRPr="00800910" w:rsidDel="003A3FE8">
        <w:rPr>
          <w:rFonts w:ascii="Arial" w:hAnsi="Arial"/>
        </w:rPr>
        <w:t xml:space="preserve"> </w:t>
      </w:r>
      <w:r w:rsidR="003A3FE8" w:rsidRPr="009E7615">
        <w:rPr>
          <w:rFonts w:ascii="Arial" w:hAnsi="Arial"/>
        </w:rPr>
        <w:t xml:space="preserve">The Company denotes the winter of 2024/2025 as 2025 and applies this treatment to future seasons and years in Figure 1.1-2. This is because the Company’s projected peak winter demand is in January of each year. </w:t>
      </w:r>
    </w:p>
  </w:footnote>
  <w:footnote w:id="6">
    <w:p w14:paraId="7CAF0C69" w14:textId="6655FED2" w:rsidR="004F026C" w:rsidRPr="003A6F8A" w:rsidRDefault="004F026C" w:rsidP="003A6F8A">
      <w:pPr>
        <w:pStyle w:val="FootnoteText"/>
        <w:jc w:val="both"/>
        <w:rPr>
          <w:rFonts w:ascii="Arial" w:hAnsi="Arial"/>
        </w:rPr>
      </w:pPr>
      <w:r w:rsidRPr="003A6F8A">
        <w:rPr>
          <w:rStyle w:val="FootnoteReference"/>
          <w:rFonts w:ascii="Arial" w:hAnsi="Arial"/>
        </w:rPr>
        <w:footnoteRef/>
      </w:r>
      <w:r w:rsidRPr="003A6F8A">
        <w:rPr>
          <w:rFonts w:ascii="Arial" w:hAnsi="Arial"/>
        </w:rPr>
        <w:t xml:space="preserve"> </w:t>
      </w:r>
      <w:r w:rsidRPr="004F026C">
        <w:rPr>
          <w:rFonts w:ascii="Arial" w:hAnsi="Arial"/>
        </w:rPr>
        <w:t xml:space="preserve">Press Release, Brian P. Kemp, Governor of Georgia, Gov. Kemp Celebrates Top State for Business Ranking at Workforce Summit (September 13, 2024), </w:t>
      </w:r>
      <w:hyperlink r:id="rId1" w:history="1">
        <w:r w:rsidRPr="004F026C">
          <w:rPr>
            <w:rStyle w:val="Hyperlink"/>
            <w:rFonts w:ascii="Arial" w:hAnsi="Arial"/>
          </w:rPr>
          <w:t>https://georgia.org/press-release/gov-kemp-celebrates-top-state-business-ranking-workforce-summit</w:t>
        </w:r>
      </w:hyperlink>
      <w:r w:rsidRPr="004F026C">
        <w:rPr>
          <w:rFonts w:ascii="Arial" w:hAnsi="Arial"/>
        </w:rPr>
        <w:t>.</w:t>
      </w:r>
    </w:p>
  </w:footnote>
  <w:footnote w:id="7">
    <w:p w14:paraId="23F01C4B" w14:textId="77777777" w:rsidR="004F026C" w:rsidRDefault="004F026C" w:rsidP="004F026C">
      <w:pPr>
        <w:pStyle w:val="FootnoteText"/>
        <w:jc w:val="both"/>
      </w:pPr>
      <w:r w:rsidRPr="00D1754E">
        <w:rPr>
          <w:rStyle w:val="FootnoteReference"/>
          <w:rFonts w:ascii="Arial" w:hAnsi="Arial"/>
        </w:rPr>
        <w:footnoteRef/>
      </w:r>
      <w:r w:rsidRPr="00D1754E">
        <w:rPr>
          <w:rFonts w:ascii="Arial" w:hAnsi="Arial"/>
        </w:rPr>
        <w:t xml:space="preserve"> Ron Starner, </w:t>
      </w:r>
      <w:r w:rsidRPr="00D1754E">
        <w:rPr>
          <w:rFonts w:ascii="Arial" w:hAnsi="Arial"/>
          <w:i/>
          <w:iCs/>
        </w:rPr>
        <w:t>Site Selectors Survey: Why Site Selectors Love the South</w:t>
      </w:r>
      <w:r w:rsidRPr="00D1754E">
        <w:rPr>
          <w:rFonts w:ascii="Arial" w:hAnsi="Arial"/>
        </w:rPr>
        <w:t xml:space="preserve">, Site Selection (January 2025) </w:t>
      </w:r>
      <w:hyperlink r:id="rId2" w:history="1">
        <w:r w:rsidRPr="00D1754E">
          <w:rPr>
            <w:rStyle w:val="Hyperlink"/>
            <w:rFonts w:ascii="Arial" w:hAnsi="Arial"/>
          </w:rPr>
          <w:t>https://siteselection.com/site-selectors-survey-why-site-selectors-love-the-south/?utm_source=InvestorWatch&amp;utm_medium=email&amp;utm_campaign=Editorialllll</w:t>
        </w:r>
      </w:hyperlink>
      <w:r w:rsidRPr="00D1754E">
        <w:rPr>
          <w:rFonts w:ascii="Arial" w:hAnsi="Arial"/>
        </w:rPr>
        <w:t>.</w:t>
      </w:r>
    </w:p>
  </w:footnote>
  <w:footnote w:id="8">
    <w:p w14:paraId="796705B9" w14:textId="1A26E3BA" w:rsidR="00492435" w:rsidRPr="00CE0D40" w:rsidRDefault="00492435" w:rsidP="00CE0D40">
      <w:pPr>
        <w:pStyle w:val="FootnoteText"/>
        <w:jc w:val="both"/>
        <w:rPr>
          <w:rFonts w:ascii="Arial" w:hAnsi="Arial"/>
        </w:rPr>
      </w:pPr>
      <w:r w:rsidRPr="00CE0D40">
        <w:rPr>
          <w:rStyle w:val="FootnoteReference"/>
          <w:rFonts w:ascii="Arial" w:hAnsi="Arial"/>
        </w:rPr>
        <w:footnoteRef/>
      </w:r>
      <w:r w:rsidRPr="00CE0D40">
        <w:rPr>
          <w:rFonts w:ascii="Arial" w:hAnsi="Arial"/>
        </w:rPr>
        <w:t xml:space="preserve"> </w:t>
      </w:r>
      <w:r w:rsidR="00CE0D40" w:rsidRPr="00CE0D40">
        <w:rPr>
          <w:rFonts w:ascii="Arial" w:hAnsi="Arial"/>
        </w:rPr>
        <w:t xml:space="preserve">After the Company completed the Budget 2025 Load and Energy Forecast, a minor technical glitch was discovered in the Peak Demand Model software that had a minor impact on the overall summer peak forecast results. This technical glitch resulted in overstating the Company’s peak demand by approximately 50 MW or 0.3% of the total summer peak demand in 2025. Given the nominal impact on the forecast and the late stage of the planning process when it was discovered, no changes were made. </w:t>
      </w:r>
      <w:r w:rsidR="00986415" w:rsidRPr="00986415">
        <w:rPr>
          <w:rFonts w:ascii="Arial" w:hAnsi="Arial"/>
        </w:rPr>
        <w:t>The software vendor has been notified.</w:t>
      </w:r>
    </w:p>
  </w:footnote>
  <w:footnote w:id="9">
    <w:p w14:paraId="5AFD9BF5" w14:textId="70808276" w:rsidR="00166540" w:rsidRPr="00E45769" w:rsidRDefault="00166540" w:rsidP="00E45769">
      <w:pPr>
        <w:pStyle w:val="FootnoteText"/>
        <w:jc w:val="both"/>
        <w:rPr>
          <w:rFonts w:ascii="Arial" w:hAnsi="Arial"/>
        </w:rPr>
      </w:pPr>
      <w:r w:rsidRPr="00E45769">
        <w:rPr>
          <w:rStyle w:val="FootnoteReference"/>
          <w:rFonts w:ascii="Arial" w:hAnsi="Arial"/>
        </w:rPr>
        <w:footnoteRef/>
      </w:r>
      <w:r w:rsidRPr="00E45769">
        <w:rPr>
          <w:rFonts w:ascii="Arial" w:hAnsi="Arial"/>
        </w:rPr>
        <w:t xml:space="preserve"> </w:t>
      </w:r>
      <w:r w:rsidR="000A483B" w:rsidRPr="00E45769">
        <w:rPr>
          <w:rFonts w:ascii="Arial" w:hAnsi="Arial"/>
        </w:rPr>
        <w:t xml:space="preserve">The data centers included in the LoadMAP model </w:t>
      </w:r>
      <w:r w:rsidR="004A1EC4" w:rsidRPr="00E45769">
        <w:rPr>
          <w:rFonts w:ascii="Arial" w:hAnsi="Arial"/>
        </w:rPr>
        <w:t xml:space="preserve">are existing data centers. </w:t>
      </w:r>
      <w:r w:rsidR="00D307C5" w:rsidRPr="00E45769">
        <w:rPr>
          <w:rFonts w:ascii="Arial" w:hAnsi="Arial"/>
        </w:rPr>
        <w:t xml:space="preserve">The new large load data centers coming </w:t>
      </w:r>
      <w:r w:rsidR="00A665F4" w:rsidRPr="00E45769">
        <w:rPr>
          <w:rFonts w:ascii="Arial" w:hAnsi="Arial"/>
        </w:rPr>
        <w:t xml:space="preserve">to </w:t>
      </w:r>
      <w:r w:rsidR="005255DC" w:rsidRPr="00E45769">
        <w:rPr>
          <w:rFonts w:ascii="Arial" w:hAnsi="Arial"/>
        </w:rPr>
        <w:t>Georgia</w:t>
      </w:r>
      <w:r w:rsidR="00A665F4" w:rsidRPr="00E45769">
        <w:rPr>
          <w:rFonts w:ascii="Arial" w:hAnsi="Arial"/>
        </w:rPr>
        <w:t xml:space="preserve"> are </w:t>
      </w:r>
      <w:r w:rsidR="0063794E" w:rsidRPr="00E45769">
        <w:rPr>
          <w:rFonts w:ascii="Arial" w:hAnsi="Arial"/>
        </w:rPr>
        <w:t>incorporated into the forecast as external adjustments to the baseline forecast</w:t>
      </w:r>
      <w:r w:rsidR="00301B8F" w:rsidRPr="00E45769">
        <w:rPr>
          <w:rFonts w:ascii="Arial" w:hAnsi="Arial"/>
        </w:rPr>
        <w:t xml:space="preserve">. </w:t>
      </w:r>
      <w:r w:rsidR="00E506F0" w:rsidRPr="00E45769">
        <w:rPr>
          <w:rFonts w:ascii="Arial" w:hAnsi="Arial"/>
        </w:rPr>
        <w:t xml:space="preserve">The methodology </w:t>
      </w:r>
      <w:r w:rsidR="00B94337" w:rsidRPr="00E45769">
        <w:rPr>
          <w:rFonts w:ascii="Arial" w:hAnsi="Arial"/>
        </w:rPr>
        <w:t xml:space="preserve">for estimating </w:t>
      </w:r>
      <w:r w:rsidR="00E506F0" w:rsidRPr="00E45769">
        <w:rPr>
          <w:rFonts w:ascii="Arial" w:hAnsi="Arial"/>
        </w:rPr>
        <w:t>new data center loads is discussed in Section 7.</w:t>
      </w:r>
    </w:p>
  </w:footnote>
  <w:footnote w:id="10">
    <w:p w14:paraId="717074F2" w14:textId="60D23EFB" w:rsidR="0061480C" w:rsidRPr="000F5A4E" w:rsidRDefault="0061480C" w:rsidP="00F368C0">
      <w:pPr>
        <w:pStyle w:val="FootnoteText"/>
        <w:jc w:val="both"/>
        <w:rPr>
          <w:rFonts w:ascii="Arial" w:hAnsi="Arial"/>
        </w:rPr>
      </w:pPr>
      <w:r w:rsidRPr="000F5A4E">
        <w:rPr>
          <w:rStyle w:val="FootnoteReference"/>
          <w:rFonts w:ascii="Arial" w:hAnsi="Arial"/>
        </w:rPr>
        <w:footnoteRef/>
      </w:r>
      <w:r w:rsidRPr="000F5A4E">
        <w:rPr>
          <w:rFonts w:ascii="Arial" w:hAnsi="Arial"/>
        </w:rPr>
        <w:t xml:space="preserve"> Prior to Budget 2021, the Peak Demand Model was used</w:t>
      </w:r>
      <w:r w:rsidR="000E41C2">
        <w:rPr>
          <w:rFonts w:ascii="Arial" w:hAnsi="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F6ADA" w14:textId="2C1FA91A" w:rsidR="00567E1D" w:rsidRPr="004C5F7C" w:rsidRDefault="00060E5E" w:rsidP="008A1A61">
    <w:pPr>
      <w:pStyle w:val="Header"/>
      <w:rPr>
        <w:color w:val="FF0000"/>
        <w:sz w:val="22"/>
        <w:szCs w:val="22"/>
      </w:rPr>
    </w:pPr>
    <w:r w:rsidRPr="009D70AD">
      <w:rPr>
        <w:sz w:val="22"/>
        <w:szCs w:val="22"/>
      </w:rPr>
      <w:t>P</w:t>
    </w:r>
    <w:r w:rsidR="009D70AD" w:rsidRPr="009D70AD">
      <w:rPr>
        <w:sz w:val="22"/>
        <w:szCs w:val="22"/>
      </w:rPr>
      <w:t>UBLIC DISCLOSURE</w:t>
    </w:r>
  </w:p>
  <w:p w14:paraId="696BC1FE" w14:textId="77777777" w:rsidR="00E773B3" w:rsidRDefault="00E773B3" w:rsidP="006B2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B05BF" w14:textId="110FF397" w:rsidR="008C7834" w:rsidRPr="0076440C" w:rsidRDefault="009D70AD" w:rsidP="00972D82">
    <w:pPr>
      <w:pStyle w:val="Header"/>
      <w:rPr>
        <w:color w:val="FF0000"/>
        <w:sz w:val="22"/>
        <w:szCs w:val="22"/>
      </w:rPr>
    </w:pPr>
    <w:r w:rsidRPr="009D70AD">
      <w:rPr>
        <w:sz w:val="22"/>
        <w:szCs w:val="22"/>
      </w:rPr>
      <w:t>PUBLIC DISCLOSURE</w:t>
    </w:r>
  </w:p>
  <w:p w14:paraId="10D112D8" w14:textId="0A0A472B" w:rsidR="00E773B3" w:rsidRPr="0044351E" w:rsidRDefault="00E773B3" w:rsidP="00050D5C">
    <w:pPr>
      <w:pStyle w:val="Header"/>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A9B4F62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5D4C8B8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9DE2F7E"/>
    <w:multiLevelType w:val="multilevel"/>
    <w:tmpl w:val="4114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933EB0"/>
    <w:multiLevelType w:val="hybridMultilevel"/>
    <w:tmpl w:val="2856E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701524"/>
    <w:multiLevelType w:val="hybridMultilevel"/>
    <w:tmpl w:val="51AA5062"/>
    <w:lvl w:ilvl="0" w:tplc="58BED2E8">
      <w:start w:val="7"/>
      <w:numFmt w:val="decimal"/>
      <w:lvlText w:val="%1."/>
      <w:lvlJc w:val="left"/>
      <w:pPr>
        <w:ind w:left="360" w:hanging="360"/>
      </w:pPr>
    </w:lvl>
    <w:lvl w:ilvl="1" w:tplc="B27CEAC4">
      <w:start w:val="1"/>
      <w:numFmt w:val="lowerLetter"/>
      <w:lvlText w:val="%2."/>
      <w:lvlJc w:val="left"/>
      <w:pPr>
        <w:ind w:left="1080" w:hanging="360"/>
      </w:pPr>
    </w:lvl>
    <w:lvl w:ilvl="2" w:tplc="0B868462">
      <w:start w:val="1"/>
      <w:numFmt w:val="lowerRoman"/>
      <w:lvlText w:val="%3."/>
      <w:lvlJc w:val="right"/>
      <w:pPr>
        <w:ind w:left="1800" w:hanging="180"/>
      </w:pPr>
    </w:lvl>
    <w:lvl w:ilvl="3" w:tplc="310CDF58">
      <w:start w:val="1"/>
      <w:numFmt w:val="decimal"/>
      <w:lvlText w:val="%4."/>
      <w:lvlJc w:val="left"/>
      <w:pPr>
        <w:ind w:left="2520" w:hanging="360"/>
      </w:pPr>
    </w:lvl>
    <w:lvl w:ilvl="4" w:tplc="DC5C3DAC">
      <w:start w:val="1"/>
      <w:numFmt w:val="lowerLetter"/>
      <w:lvlText w:val="%5."/>
      <w:lvlJc w:val="left"/>
      <w:pPr>
        <w:ind w:left="3240" w:hanging="360"/>
      </w:pPr>
    </w:lvl>
    <w:lvl w:ilvl="5" w:tplc="68E8FC86">
      <w:start w:val="1"/>
      <w:numFmt w:val="lowerRoman"/>
      <w:lvlText w:val="%6."/>
      <w:lvlJc w:val="right"/>
      <w:pPr>
        <w:ind w:left="3960" w:hanging="180"/>
      </w:pPr>
    </w:lvl>
    <w:lvl w:ilvl="6" w:tplc="426EF5A2">
      <w:start w:val="1"/>
      <w:numFmt w:val="decimal"/>
      <w:lvlText w:val="%7."/>
      <w:lvlJc w:val="left"/>
      <w:pPr>
        <w:ind w:left="4680" w:hanging="360"/>
      </w:pPr>
    </w:lvl>
    <w:lvl w:ilvl="7" w:tplc="DB70DF40">
      <w:start w:val="1"/>
      <w:numFmt w:val="lowerLetter"/>
      <w:lvlText w:val="%8."/>
      <w:lvlJc w:val="left"/>
      <w:pPr>
        <w:ind w:left="5400" w:hanging="360"/>
      </w:pPr>
    </w:lvl>
    <w:lvl w:ilvl="8" w:tplc="3B66017C">
      <w:start w:val="1"/>
      <w:numFmt w:val="lowerRoman"/>
      <w:lvlText w:val="%9."/>
      <w:lvlJc w:val="right"/>
      <w:pPr>
        <w:ind w:left="6120" w:hanging="180"/>
      </w:pPr>
    </w:lvl>
  </w:abstractNum>
  <w:abstractNum w:abstractNumId="5" w15:restartNumberingAfterBreak="0">
    <w:nsid w:val="24CA1012"/>
    <w:multiLevelType w:val="hybridMultilevel"/>
    <w:tmpl w:val="CAD296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4A116C"/>
    <w:multiLevelType w:val="hybridMultilevel"/>
    <w:tmpl w:val="FC9EC9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526E9"/>
    <w:multiLevelType w:val="hybridMultilevel"/>
    <w:tmpl w:val="042A08E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10E1B61"/>
    <w:multiLevelType w:val="hybridMultilevel"/>
    <w:tmpl w:val="BCE64D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01208"/>
    <w:multiLevelType w:val="hybridMultilevel"/>
    <w:tmpl w:val="3ECC6DC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D5543"/>
    <w:multiLevelType w:val="multilevel"/>
    <w:tmpl w:val="635C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BB1C7F"/>
    <w:multiLevelType w:val="hybridMultilevel"/>
    <w:tmpl w:val="BC92E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35764"/>
    <w:multiLevelType w:val="hybridMultilevel"/>
    <w:tmpl w:val="E258D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6C1FA9"/>
    <w:multiLevelType w:val="hybridMultilevel"/>
    <w:tmpl w:val="F32465DC"/>
    <w:lvl w:ilvl="0" w:tplc="F1BAFD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EF2909"/>
    <w:multiLevelType w:val="hybridMultilevel"/>
    <w:tmpl w:val="14845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E1676"/>
    <w:multiLevelType w:val="hybridMultilevel"/>
    <w:tmpl w:val="A3EE6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7272E9"/>
    <w:multiLevelType w:val="hybridMultilevel"/>
    <w:tmpl w:val="61C684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D354E66"/>
    <w:multiLevelType w:val="hybridMultilevel"/>
    <w:tmpl w:val="81DEB9EA"/>
    <w:lvl w:ilvl="0" w:tplc="04090001">
      <w:start w:val="1"/>
      <w:numFmt w:val="bullet"/>
      <w:lvlText w:val=""/>
      <w:lvlJc w:val="left"/>
      <w:pPr>
        <w:tabs>
          <w:tab w:val="num" w:pos="360"/>
        </w:tabs>
        <w:ind w:left="360" w:hanging="360"/>
      </w:pPr>
      <w:rPr>
        <w:rFonts w:ascii="Symbol" w:hAnsi="Symbol" w:hint="default"/>
        <w:sz w:val="20"/>
        <w:szCs w:val="18"/>
      </w:rPr>
    </w:lvl>
    <w:lvl w:ilvl="1" w:tplc="04090003">
      <w:start w:val="1"/>
      <w:numFmt w:val="bullet"/>
      <w:lvlText w:val="o"/>
      <w:lvlJc w:val="left"/>
      <w:pPr>
        <w:tabs>
          <w:tab w:val="num" w:pos="1080"/>
        </w:tabs>
        <w:ind w:left="1080" w:hanging="360"/>
      </w:pPr>
      <w:rPr>
        <w:rFonts w:ascii="Courier New" w:hAnsi="Courier New" w:cs="Courier New" w:hint="default"/>
        <w:sz w:val="16"/>
        <w:szCs w:val="16"/>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DEF2FA7"/>
    <w:multiLevelType w:val="hybridMultilevel"/>
    <w:tmpl w:val="B9FCA5B0"/>
    <w:lvl w:ilvl="0" w:tplc="CDDC25EA">
      <w:start w:val="1"/>
      <w:numFmt w:val="decimal"/>
      <w:lvlText w:val="%1."/>
      <w:lvlJc w:val="left"/>
      <w:pPr>
        <w:ind w:left="360" w:hanging="360"/>
      </w:pPr>
    </w:lvl>
    <w:lvl w:ilvl="1" w:tplc="D3C85BF6">
      <w:start w:val="1"/>
      <w:numFmt w:val="lowerLetter"/>
      <w:lvlText w:val="%2."/>
      <w:lvlJc w:val="left"/>
      <w:pPr>
        <w:ind w:left="1080" w:hanging="360"/>
      </w:pPr>
    </w:lvl>
    <w:lvl w:ilvl="2" w:tplc="51EADC3A">
      <w:start w:val="1"/>
      <w:numFmt w:val="lowerRoman"/>
      <w:lvlText w:val="%3."/>
      <w:lvlJc w:val="right"/>
      <w:pPr>
        <w:ind w:left="1800" w:hanging="180"/>
      </w:pPr>
    </w:lvl>
    <w:lvl w:ilvl="3" w:tplc="1F2E9A92">
      <w:start w:val="1"/>
      <w:numFmt w:val="decimal"/>
      <w:lvlText w:val="%4."/>
      <w:lvlJc w:val="left"/>
      <w:pPr>
        <w:ind w:left="2520" w:hanging="360"/>
      </w:pPr>
    </w:lvl>
    <w:lvl w:ilvl="4" w:tplc="58C2A0F2">
      <w:start w:val="1"/>
      <w:numFmt w:val="lowerLetter"/>
      <w:lvlText w:val="%5."/>
      <w:lvlJc w:val="left"/>
      <w:pPr>
        <w:ind w:left="3240" w:hanging="360"/>
      </w:pPr>
    </w:lvl>
    <w:lvl w:ilvl="5" w:tplc="E306E53A">
      <w:start w:val="1"/>
      <w:numFmt w:val="lowerRoman"/>
      <w:lvlText w:val="%6."/>
      <w:lvlJc w:val="right"/>
      <w:pPr>
        <w:ind w:left="3960" w:hanging="180"/>
      </w:pPr>
    </w:lvl>
    <w:lvl w:ilvl="6" w:tplc="75A0DB1A">
      <w:start w:val="1"/>
      <w:numFmt w:val="decimal"/>
      <w:lvlText w:val="%7."/>
      <w:lvlJc w:val="left"/>
      <w:pPr>
        <w:ind w:left="4680" w:hanging="360"/>
      </w:pPr>
    </w:lvl>
    <w:lvl w:ilvl="7" w:tplc="35CA145E">
      <w:start w:val="1"/>
      <w:numFmt w:val="lowerLetter"/>
      <w:lvlText w:val="%8."/>
      <w:lvlJc w:val="left"/>
      <w:pPr>
        <w:ind w:left="5400" w:hanging="360"/>
      </w:pPr>
    </w:lvl>
    <w:lvl w:ilvl="8" w:tplc="D138CEC8">
      <w:start w:val="1"/>
      <w:numFmt w:val="lowerRoman"/>
      <w:lvlText w:val="%9."/>
      <w:lvlJc w:val="right"/>
      <w:pPr>
        <w:ind w:left="6120" w:hanging="180"/>
      </w:pPr>
    </w:lvl>
  </w:abstractNum>
  <w:abstractNum w:abstractNumId="19" w15:restartNumberingAfterBreak="0">
    <w:nsid w:val="6DF10CE3"/>
    <w:multiLevelType w:val="hybridMultilevel"/>
    <w:tmpl w:val="27822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29353E8"/>
    <w:multiLevelType w:val="hybridMultilevel"/>
    <w:tmpl w:val="7C68F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0652DC"/>
    <w:multiLevelType w:val="hybridMultilevel"/>
    <w:tmpl w:val="F490E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943B41"/>
    <w:multiLevelType w:val="hybridMultilevel"/>
    <w:tmpl w:val="42E0E4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9132719">
    <w:abstractNumId w:val="0"/>
  </w:num>
  <w:num w:numId="2" w16cid:durableId="699823891">
    <w:abstractNumId w:val="14"/>
  </w:num>
  <w:num w:numId="3" w16cid:durableId="1673213961">
    <w:abstractNumId w:val="13"/>
  </w:num>
  <w:num w:numId="4" w16cid:durableId="1712996659">
    <w:abstractNumId w:val="17"/>
  </w:num>
  <w:num w:numId="5" w16cid:durableId="2050059568">
    <w:abstractNumId w:val="16"/>
  </w:num>
  <w:num w:numId="6" w16cid:durableId="747507811">
    <w:abstractNumId w:val="5"/>
  </w:num>
  <w:num w:numId="7" w16cid:durableId="137579987">
    <w:abstractNumId w:val="3"/>
  </w:num>
  <w:num w:numId="8" w16cid:durableId="215120007">
    <w:abstractNumId w:val="15"/>
  </w:num>
  <w:num w:numId="9" w16cid:durableId="1548907950">
    <w:abstractNumId w:val="20"/>
  </w:num>
  <w:num w:numId="10" w16cid:durableId="761802492">
    <w:abstractNumId w:val="21"/>
  </w:num>
  <w:num w:numId="11" w16cid:durableId="710151222">
    <w:abstractNumId w:val="19"/>
  </w:num>
  <w:num w:numId="12" w16cid:durableId="740252535">
    <w:abstractNumId w:val="12"/>
  </w:num>
  <w:num w:numId="13" w16cid:durableId="1608736522">
    <w:abstractNumId w:val="22"/>
  </w:num>
  <w:num w:numId="14" w16cid:durableId="310713983">
    <w:abstractNumId w:val="6"/>
  </w:num>
  <w:num w:numId="15" w16cid:durableId="690836124">
    <w:abstractNumId w:val="8"/>
  </w:num>
  <w:num w:numId="16" w16cid:durableId="657660008">
    <w:abstractNumId w:val="11"/>
  </w:num>
  <w:num w:numId="17" w16cid:durableId="875043466">
    <w:abstractNumId w:val="4"/>
  </w:num>
  <w:num w:numId="18" w16cid:durableId="519392805">
    <w:abstractNumId w:val="18"/>
  </w:num>
  <w:num w:numId="19" w16cid:durableId="390350131">
    <w:abstractNumId w:val="9"/>
  </w:num>
  <w:num w:numId="20" w16cid:durableId="1817142982">
    <w:abstractNumId w:val="7"/>
  </w:num>
  <w:num w:numId="21" w16cid:durableId="1798404268">
    <w:abstractNumId w:val="1"/>
  </w:num>
  <w:num w:numId="22" w16cid:durableId="993412171">
    <w:abstractNumId w:val="10"/>
  </w:num>
  <w:num w:numId="23" w16cid:durableId="1732730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700"/>
    <w:rsid w:val="00000365"/>
    <w:rsid w:val="000003D6"/>
    <w:rsid w:val="000008C8"/>
    <w:rsid w:val="00000F6C"/>
    <w:rsid w:val="00001BBE"/>
    <w:rsid w:val="00002318"/>
    <w:rsid w:val="0000267A"/>
    <w:rsid w:val="0000296A"/>
    <w:rsid w:val="00002D24"/>
    <w:rsid w:val="00003C85"/>
    <w:rsid w:val="000042A8"/>
    <w:rsid w:val="000044DD"/>
    <w:rsid w:val="00004714"/>
    <w:rsid w:val="00004AA9"/>
    <w:rsid w:val="00004B38"/>
    <w:rsid w:val="00005265"/>
    <w:rsid w:val="00005270"/>
    <w:rsid w:val="00005272"/>
    <w:rsid w:val="0000635A"/>
    <w:rsid w:val="000065CF"/>
    <w:rsid w:val="0000705E"/>
    <w:rsid w:val="0000762A"/>
    <w:rsid w:val="00007655"/>
    <w:rsid w:val="0000770B"/>
    <w:rsid w:val="00007930"/>
    <w:rsid w:val="00007DB7"/>
    <w:rsid w:val="000108CD"/>
    <w:rsid w:val="00010E76"/>
    <w:rsid w:val="00011D97"/>
    <w:rsid w:val="00012372"/>
    <w:rsid w:val="00012428"/>
    <w:rsid w:val="0001279F"/>
    <w:rsid w:val="00012C19"/>
    <w:rsid w:val="00013145"/>
    <w:rsid w:val="00013645"/>
    <w:rsid w:val="0001379A"/>
    <w:rsid w:val="00013BC3"/>
    <w:rsid w:val="00014596"/>
    <w:rsid w:val="00014AC4"/>
    <w:rsid w:val="000153B1"/>
    <w:rsid w:val="000153C1"/>
    <w:rsid w:val="000155D1"/>
    <w:rsid w:val="0001573F"/>
    <w:rsid w:val="000159F3"/>
    <w:rsid w:val="00015FAE"/>
    <w:rsid w:val="00016761"/>
    <w:rsid w:val="00017367"/>
    <w:rsid w:val="000176F3"/>
    <w:rsid w:val="000179B2"/>
    <w:rsid w:val="00017BF4"/>
    <w:rsid w:val="00017F25"/>
    <w:rsid w:val="0002017C"/>
    <w:rsid w:val="00020DB6"/>
    <w:rsid w:val="00020DE0"/>
    <w:rsid w:val="000216A3"/>
    <w:rsid w:val="000224AE"/>
    <w:rsid w:val="0002293B"/>
    <w:rsid w:val="00022A04"/>
    <w:rsid w:val="00022FA9"/>
    <w:rsid w:val="00023603"/>
    <w:rsid w:val="000238A3"/>
    <w:rsid w:val="000240DC"/>
    <w:rsid w:val="00024452"/>
    <w:rsid w:val="0002461E"/>
    <w:rsid w:val="000247BA"/>
    <w:rsid w:val="0002521D"/>
    <w:rsid w:val="00026129"/>
    <w:rsid w:val="0002625D"/>
    <w:rsid w:val="00026348"/>
    <w:rsid w:val="00026492"/>
    <w:rsid w:val="000270E2"/>
    <w:rsid w:val="00030017"/>
    <w:rsid w:val="00030DE1"/>
    <w:rsid w:val="0003116F"/>
    <w:rsid w:val="00031577"/>
    <w:rsid w:val="00031CB0"/>
    <w:rsid w:val="000326C5"/>
    <w:rsid w:val="00032D1D"/>
    <w:rsid w:val="00033630"/>
    <w:rsid w:val="00033B83"/>
    <w:rsid w:val="00033D98"/>
    <w:rsid w:val="00033FDA"/>
    <w:rsid w:val="000345A4"/>
    <w:rsid w:val="00034674"/>
    <w:rsid w:val="0003477C"/>
    <w:rsid w:val="000363FE"/>
    <w:rsid w:val="00036DC6"/>
    <w:rsid w:val="000400EB"/>
    <w:rsid w:val="000409E4"/>
    <w:rsid w:val="00040BB0"/>
    <w:rsid w:val="00040C3F"/>
    <w:rsid w:val="00040E35"/>
    <w:rsid w:val="0004163D"/>
    <w:rsid w:val="00041DE3"/>
    <w:rsid w:val="00041ED1"/>
    <w:rsid w:val="0004236B"/>
    <w:rsid w:val="000427BD"/>
    <w:rsid w:val="00042AA4"/>
    <w:rsid w:val="000431C6"/>
    <w:rsid w:val="000431F2"/>
    <w:rsid w:val="00043206"/>
    <w:rsid w:val="00043415"/>
    <w:rsid w:val="0004349D"/>
    <w:rsid w:val="00043669"/>
    <w:rsid w:val="00043EDE"/>
    <w:rsid w:val="000448DF"/>
    <w:rsid w:val="00044AF1"/>
    <w:rsid w:val="00044D1B"/>
    <w:rsid w:val="0004537C"/>
    <w:rsid w:val="00045D8D"/>
    <w:rsid w:val="00045F0D"/>
    <w:rsid w:val="00046242"/>
    <w:rsid w:val="00046C67"/>
    <w:rsid w:val="00047AE5"/>
    <w:rsid w:val="000506D2"/>
    <w:rsid w:val="00050D5C"/>
    <w:rsid w:val="0005125C"/>
    <w:rsid w:val="00051362"/>
    <w:rsid w:val="000519CF"/>
    <w:rsid w:val="00051D53"/>
    <w:rsid w:val="00051DAC"/>
    <w:rsid w:val="00052867"/>
    <w:rsid w:val="000531E8"/>
    <w:rsid w:val="00053257"/>
    <w:rsid w:val="00053413"/>
    <w:rsid w:val="00053A6B"/>
    <w:rsid w:val="00053A9C"/>
    <w:rsid w:val="00053CBD"/>
    <w:rsid w:val="0005402C"/>
    <w:rsid w:val="000543A2"/>
    <w:rsid w:val="00054999"/>
    <w:rsid w:val="00054E15"/>
    <w:rsid w:val="00054EBE"/>
    <w:rsid w:val="00055B3C"/>
    <w:rsid w:val="00056819"/>
    <w:rsid w:val="00056EFA"/>
    <w:rsid w:val="00057219"/>
    <w:rsid w:val="000601AF"/>
    <w:rsid w:val="00060E00"/>
    <w:rsid w:val="00060E5E"/>
    <w:rsid w:val="000616AF"/>
    <w:rsid w:val="00061827"/>
    <w:rsid w:val="00061BDA"/>
    <w:rsid w:val="00061E94"/>
    <w:rsid w:val="000620FA"/>
    <w:rsid w:val="000621D2"/>
    <w:rsid w:val="000626CC"/>
    <w:rsid w:val="00062D70"/>
    <w:rsid w:val="00062F4F"/>
    <w:rsid w:val="000633B9"/>
    <w:rsid w:val="000638D0"/>
    <w:rsid w:val="000641B0"/>
    <w:rsid w:val="00064599"/>
    <w:rsid w:val="00064AAC"/>
    <w:rsid w:val="000658CB"/>
    <w:rsid w:val="000659C8"/>
    <w:rsid w:val="000665A5"/>
    <w:rsid w:val="0006712A"/>
    <w:rsid w:val="00067855"/>
    <w:rsid w:val="00067B37"/>
    <w:rsid w:val="00067C55"/>
    <w:rsid w:val="00067FF5"/>
    <w:rsid w:val="00070222"/>
    <w:rsid w:val="000703A4"/>
    <w:rsid w:val="00070756"/>
    <w:rsid w:val="000709BF"/>
    <w:rsid w:val="00070D67"/>
    <w:rsid w:val="00071077"/>
    <w:rsid w:val="00071857"/>
    <w:rsid w:val="000718B9"/>
    <w:rsid w:val="000720B5"/>
    <w:rsid w:val="00072F36"/>
    <w:rsid w:val="00073370"/>
    <w:rsid w:val="000733CE"/>
    <w:rsid w:val="0007340D"/>
    <w:rsid w:val="0007361E"/>
    <w:rsid w:val="0007377F"/>
    <w:rsid w:val="0007393D"/>
    <w:rsid w:val="00074736"/>
    <w:rsid w:val="000747A1"/>
    <w:rsid w:val="00074E7C"/>
    <w:rsid w:val="00075413"/>
    <w:rsid w:val="00075B67"/>
    <w:rsid w:val="000766EE"/>
    <w:rsid w:val="00076C0A"/>
    <w:rsid w:val="00076D3E"/>
    <w:rsid w:val="00077E15"/>
    <w:rsid w:val="00077E20"/>
    <w:rsid w:val="0008039D"/>
    <w:rsid w:val="00080AF6"/>
    <w:rsid w:val="000820B0"/>
    <w:rsid w:val="0008228B"/>
    <w:rsid w:val="00082868"/>
    <w:rsid w:val="00082871"/>
    <w:rsid w:val="00082A90"/>
    <w:rsid w:val="00083190"/>
    <w:rsid w:val="000832BC"/>
    <w:rsid w:val="00083790"/>
    <w:rsid w:val="000841D7"/>
    <w:rsid w:val="000846A7"/>
    <w:rsid w:val="00084FAA"/>
    <w:rsid w:val="0008540A"/>
    <w:rsid w:val="00085890"/>
    <w:rsid w:val="00085F9B"/>
    <w:rsid w:val="000864E8"/>
    <w:rsid w:val="000865DD"/>
    <w:rsid w:val="00086831"/>
    <w:rsid w:val="00086A32"/>
    <w:rsid w:val="00086A34"/>
    <w:rsid w:val="00087583"/>
    <w:rsid w:val="0009029D"/>
    <w:rsid w:val="00090612"/>
    <w:rsid w:val="0009090A"/>
    <w:rsid w:val="00090E5D"/>
    <w:rsid w:val="00091DE0"/>
    <w:rsid w:val="00092279"/>
    <w:rsid w:val="000929B3"/>
    <w:rsid w:val="0009315C"/>
    <w:rsid w:val="0009393F"/>
    <w:rsid w:val="00093E4E"/>
    <w:rsid w:val="000940EE"/>
    <w:rsid w:val="0009458C"/>
    <w:rsid w:val="000954DB"/>
    <w:rsid w:val="00095C86"/>
    <w:rsid w:val="00095C8E"/>
    <w:rsid w:val="00095E83"/>
    <w:rsid w:val="00095F48"/>
    <w:rsid w:val="00095FF7"/>
    <w:rsid w:val="00096021"/>
    <w:rsid w:val="000960F2"/>
    <w:rsid w:val="00097105"/>
    <w:rsid w:val="0009733A"/>
    <w:rsid w:val="00097844"/>
    <w:rsid w:val="00097934"/>
    <w:rsid w:val="00097A10"/>
    <w:rsid w:val="00097BE7"/>
    <w:rsid w:val="00097E6F"/>
    <w:rsid w:val="000A0032"/>
    <w:rsid w:val="000A0B24"/>
    <w:rsid w:val="000A189E"/>
    <w:rsid w:val="000A1B49"/>
    <w:rsid w:val="000A1C17"/>
    <w:rsid w:val="000A2D8B"/>
    <w:rsid w:val="000A36E4"/>
    <w:rsid w:val="000A45A3"/>
    <w:rsid w:val="000A4839"/>
    <w:rsid w:val="000A483B"/>
    <w:rsid w:val="000A4B58"/>
    <w:rsid w:val="000A4B94"/>
    <w:rsid w:val="000A51B9"/>
    <w:rsid w:val="000A6453"/>
    <w:rsid w:val="000A694E"/>
    <w:rsid w:val="000A6D9C"/>
    <w:rsid w:val="000B1048"/>
    <w:rsid w:val="000B10E3"/>
    <w:rsid w:val="000B1536"/>
    <w:rsid w:val="000B2308"/>
    <w:rsid w:val="000B2DBF"/>
    <w:rsid w:val="000B44C1"/>
    <w:rsid w:val="000B48A6"/>
    <w:rsid w:val="000B4EB1"/>
    <w:rsid w:val="000B55F2"/>
    <w:rsid w:val="000B588E"/>
    <w:rsid w:val="000B5B3D"/>
    <w:rsid w:val="000B6152"/>
    <w:rsid w:val="000B674D"/>
    <w:rsid w:val="000B7481"/>
    <w:rsid w:val="000B7483"/>
    <w:rsid w:val="000B763A"/>
    <w:rsid w:val="000B76F0"/>
    <w:rsid w:val="000B79AE"/>
    <w:rsid w:val="000C02AD"/>
    <w:rsid w:val="000C0D7E"/>
    <w:rsid w:val="000C0EF5"/>
    <w:rsid w:val="000C1996"/>
    <w:rsid w:val="000C1AC2"/>
    <w:rsid w:val="000C225F"/>
    <w:rsid w:val="000C23CD"/>
    <w:rsid w:val="000C26DE"/>
    <w:rsid w:val="000C2928"/>
    <w:rsid w:val="000C2F60"/>
    <w:rsid w:val="000C3115"/>
    <w:rsid w:val="000C3417"/>
    <w:rsid w:val="000C3485"/>
    <w:rsid w:val="000C3729"/>
    <w:rsid w:val="000C3BBC"/>
    <w:rsid w:val="000C4BC5"/>
    <w:rsid w:val="000C5638"/>
    <w:rsid w:val="000C61E7"/>
    <w:rsid w:val="000C65EF"/>
    <w:rsid w:val="000C6759"/>
    <w:rsid w:val="000C6B19"/>
    <w:rsid w:val="000C7395"/>
    <w:rsid w:val="000C768E"/>
    <w:rsid w:val="000C7A3D"/>
    <w:rsid w:val="000C7AAB"/>
    <w:rsid w:val="000D0306"/>
    <w:rsid w:val="000D06DC"/>
    <w:rsid w:val="000D1A1F"/>
    <w:rsid w:val="000D1C54"/>
    <w:rsid w:val="000D1EE5"/>
    <w:rsid w:val="000D28D2"/>
    <w:rsid w:val="000D2AD2"/>
    <w:rsid w:val="000D2E52"/>
    <w:rsid w:val="000D2F37"/>
    <w:rsid w:val="000D3350"/>
    <w:rsid w:val="000D3FEB"/>
    <w:rsid w:val="000D4493"/>
    <w:rsid w:val="000D458A"/>
    <w:rsid w:val="000D4AE7"/>
    <w:rsid w:val="000D4E96"/>
    <w:rsid w:val="000D4FF7"/>
    <w:rsid w:val="000D57A8"/>
    <w:rsid w:val="000D68DC"/>
    <w:rsid w:val="000D6A55"/>
    <w:rsid w:val="000D7435"/>
    <w:rsid w:val="000D7A7B"/>
    <w:rsid w:val="000E0CB4"/>
    <w:rsid w:val="000E1948"/>
    <w:rsid w:val="000E252A"/>
    <w:rsid w:val="000E29CD"/>
    <w:rsid w:val="000E2D4E"/>
    <w:rsid w:val="000E3713"/>
    <w:rsid w:val="000E408F"/>
    <w:rsid w:val="000E40E4"/>
    <w:rsid w:val="000E41C2"/>
    <w:rsid w:val="000E43C5"/>
    <w:rsid w:val="000E4469"/>
    <w:rsid w:val="000E4472"/>
    <w:rsid w:val="000E563A"/>
    <w:rsid w:val="000E5B5C"/>
    <w:rsid w:val="000E62BE"/>
    <w:rsid w:val="000E6669"/>
    <w:rsid w:val="000E6F6E"/>
    <w:rsid w:val="000E7EA6"/>
    <w:rsid w:val="000F02C9"/>
    <w:rsid w:val="000F02EE"/>
    <w:rsid w:val="000F0E17"/>
    <w:rsid w:val="000F1C12"/>
    <w:rsid w:val="000F2494"/>
    <w:rsid w:val="000F2719"/>
    <w:rsid w:val="000F291D"/>
    <w:rsid w:val="000F336E"/>
    <w:rsid w:val="000F43E2"/>
    <w:rsid w:val="000F44E9"/>
    <w:rsid w:val="000F4D3D"/>
    <w:rsid w:val="000F516D"/>
    <w:rsid w:val="000F53E4"/>
    <w:rsid w:val="000F56C2"/>
    <w:rsid w:val="000F56E2"/>
    <w:rsid w:val="000F6650"/>
    <w:rsid w:val="000F67C3"/>
    <w:rsid w:val="000F6C51"/>
    <w:rsid w:val="000F6CED"/>
    <w:rsid w:val="000F785E"/>
    <w:rsid w:val="000F7E95"/>
    <w:rsid w:val="00100218"/>
    <w:rsid w:val="001009A9"/>
    <w:rsid w:val="00100C96"/>
    <w:rsid w:val="001013EC"/>
    <w:rsid w:val="00102796"/>
    <w:rsid w:val="00102B5D"/>
    <w:rsid w:val="00102DCB"/>
    <w:rsid w:val="001033B0"/>
    <w:rsid w:val="0010358E"/>
    <w:rsid w:val="00103783"/>
    <w:rsid w:val="00104030"/>
    <w:rsid w:val="001042F5"/>
    <w:rsid w:val="00105B5A"/>
    <w:rsid w:val="00105DE6"/>
    <w:rsid w:val="00110129"/>
    <w:rsid w:val="00110519"/>
    <w:rsid w:val="0011067B"/>
    <w:rsid w:val="001106F0"/>
    <w:rsid w:val="001107BF"/>
    <w:rsid w:val="00111E63"/>
    <w:rsid w:val="001127E9"/>
    <w:rsid w:val="00112C8D"/>
    <w:rsid w:val="00113FDC"/>
    <w:rsid w:val="00114110"/>
    <w:rsid w:val="001142C5"/>
    <w:rsid w:val="00114463"/>
    <w:rsid w:val="00114A47"/>
    <w:rsid w:val="00114B4F"/>
    <w:rsid w:val="00115236"/>
    <w:rsid w:val="00115333"/>
    <w:rsid w:val="0011538C"/>
    <w:rsid w:val="00115478"/>
    <w:rsid w:val="00115873"/>
    <w:rsid w:val="00115DAD"/>
    <w:rsid w:val="00116234"/>
    <w:rsid w:val="00116464"/>
    <w:rsid w:val="00117214"/>
    <w:rsid w:val="00117D3E"/>
    <w:rsid w:val="00117E0F"/>
    <w:rsid w:val="001201DD"/>
    <w:rsid w:val="0012041C"/>
    <w:rsid w:val="00120D3A"/>
    <w:rsid w:val="00121FB7"/>
    <w:rsid w:val="00122419"/>
    <w:rsid w:val="00123A64"/>
    <w:rsid w:val="00123F75"/>
    <w:rsid w:val="001242AF"/>
    <w:rsid w:val="001244CA"/>
    <w:rsid w:val="00124CA3"/>
    <w:rsid w:val="001254D4"/>
    <w:rsid w:val="0012575B"/>
    <w:rsid w:val="001265E0"/>
    <w:rsid w:val="001301C4"/>
    <w:rsid w:val="00130970"/>
    <w:rsid w:val="001309AF"/>
    <w:rsid w:val="00130A95"/>
    <w:rsid w:val="00130E6F"/>
    <w:rsid w:val="001311B6"/>
    <w:rsid w:val="0013165F"/>
    <w:rsid w:val="001319ED"/>
    <w:rsid w:val="00131B5E"/>
    <w:rsid w:val="00131FFF"/>
    <w:rsid w:val="00132776"/>
    <w:rsid w:val="001327B5"/>
    <w:rsid w:val="001328CE"/>
    <w:rsid w:val="001328E0"/>
    <w:rsid w:val="00132BB2"/>
    <w:rsid w:val="00132CFD"/>
    <w:rsid w:val="00133744"/>
    <w:rsid w:val="00133E16"/>
    <w:rsid w:val="0013410F"/>
    <w:rsid w:val="00134312"/>
    <w:rsid w:val="0013443F"/>
    <w:rsid w:val="001344DE"/>
    <w:rsid w:val="00134732"/>
    <w:rsid w:val="00134C1B"/>
    <w:rsid w:val="00134EA6"/>
    <w:rsid w:val="00135DA2"/>
    <w:rsid w:val="00136261"/>
    <w:rsid w:val="001370CF"/>
    <w:rsid w:val="001371A4"/>
    <w:rsid w:val="001375B2"/>
    <w:rsid w:val="00137676"/>
    <w:rsid w:val="00137A64"/>
    <w:rsid w:val="00137AB1"/>
    <w:rsid w:val="00140368"/>
    <w:rsid w:val="00140430"/>
    <w:rsid w:val="0014068A"/>
    <w:rsid w:val="00140765"/>
    <w:rsid w:val="00140996"/>
    <w:rsid w:val="001409CE"/>
    <w:rsid w:val="00140EFD"/>
    <w:rsid w:val="0014110A"/>
    <w:rsid w:val="001411A9"/>
    <w:rsid w:val="00141406"/>
    <w:rsid w:val="0014141B"/>
    <w:rsid w:val="00142D01"/>
    <w:rsid w:val="001434CD"/>
    <w:rsid w:val="00143521"/>
    <w:rsid w:val="0014354D"/>
    <w:rsid w:val="001437A7"/>
    <w:rsid w:val="00143ACE"/>
    <w:rsid w:val="001440EB"/>
    <w:rsid w:val="00144464"/>
    <w:rsid w:val="001450DB"/>
    <w:rsid w:val="001467C2"/>
    <w:rsid w:val="00146E69"/>
    <w:rsid w:val="00146EF6"/>
    <w:rsid w:val="00147111"/>
    <w:rsid w:val="00147777"/>
    <w:rsid w:val="00147BF2"/>
    <w:rsid w:val="00147F9C"/>
    <w:rsid w:val="00150AA0"/>
    <w:rsid w:val="00150E2B"/>
    <w:rsid w:val="00151C80"/>
    <w:rsid w:val="00151DB2"/>
    <w:rsid w:val="00153D1B"/>
    <w:rsid w:val="00153FFB"/>
    <w:rsid w:val="001541DF"/>
    <w:rsid w:val="0015488A"/>
    <w:rsid w:val="00154B82"/>
    <w:rsid w:val="00155772"/>
    <w:rsid w:val="0015579A"/>
    <w:rsid w:val="00155EA5"/>
    <w:rsid w:val="00156064"/>
    <w:rsid w:val="00156502"/>
    <w:rsid w:val="00156920"/>
    <w:rsid w:val="00156E50"/>
    <w:rsid w:val="001572A9"/>
    <w:rsid w:val="00157BCD"/>
    <w:rsid w:val="00157C18"/>
    <w:rsid w:val="00160123"/>
    <w:rsid w:val="0016091B"/>
    <w:rsid w:val="00160B02"/>
    <w:rsid w:val="00160CD4"/>
    <w:rsid w:val="0016116F"/>
    <w:rsid w:val="001617A9"/>
    <w:rsid w:val="00161D9A"/>
    <w:rsid w:val="00161FE1"/>
    <w:rsid w:val="00162762"/>
    <w:rsid w:val="00162ADF"/>
    <w:rsid w:val="001637F4"/>
    <w:rsid w:val="00163BF3"/>
    <w:rsid w:val="00163D1E"/>
    <w:rsid w:val="001655DA"/>
    <w:rsid w:val="00165E84"/>
    <w:rsid w:val="0016616E"/>
    <w:rsid w:val="00166540"/>
    <w:rsid w:val="001665DB"/>
    <w:rsid w:val="0016698C"/>
    <w:rsid w:val="001671FE"/>
    <w:rsid w:val="00167A09"/>
    <w:rsid w:val="00167ED9"/>
    <w:rsid w:val="00170606"/>
    <w:rsid w:val="001706B8"/>
    <w:rsid w:val="001706E7"/>
    <w:rsid w:val="00170AA6"/>
    <w:rsid w:val="00171329"/>
    <w:rsid w:val="00171482"/>
    <w:rsid w:val="00172B52"/>
    <w:rsid w:val="001743E3"/>
    <w:rsid w:val="0017452A"/>
    <w:rsid w:val="001748BF"/>
    <w:rsid w:val="001748F2"/>
    <w:rsid w:val="001749AB"/>
    <w:rsid w:val="00174CEE"/>
    <w:rsid w:val="001755FE"/>
    <w:rsid w:val="001763A4"/>
    <w:rsid w:val="00177186"/>
    <w:rsid w:val="001771BD"/>
    <w:rsid w:val="00177219"/>
    <w:rsid w:val="00180A8D"/>
    <w:rsid w:val="0018132E"/>
    <w:rsid w:val="001813C3"/>
    <w:rsid w:val="00181B35"/>
    <w:rsid w:val="00181CE4"/>
    <w:rsid w:val="0018208F"/>
    <w:rsid w:val="0018253B"/>
    <w:rsid w:val="00182990"/>
    <w:rsid w:val="001845D0"/>
    <w:rsid w:val="001845F3"/>
    <w:rsid w:val="001848E2"/>
    <w:rsid w:val="00184A4A"/>
    <w:rsid w:val="00184DF1"/>
    <w:rsid w:val="00184FED"/>
    <w:rsid w:val="001852F8"/>
    <w:rsid w:val="001863BE"/>
    <w:rsid w:val="00186B45"/>
    <w:rsid w:val="00187281"/>
    <w:rsid w:val="00187DAC"/>
    <w:rsid w:val="001900C7"/>
    <w:rsid w:val="0019062C"/>
    <w:rsid w:val="0019194C"/>
    <w:rsid w:val="00192535"/>
    <w:rsid w:val="00192582"/>
    <w:rsid w:val="00192ADD"/>
    <w:rsid w:val="00192D3D"/>
    <w:rsid w:val="0019333C"/>
    <w:rsid w:val="0019421D"/>
    <w:rsid w:val="001949D0"/>
    <w:rsid w:val="00194FAF"/>
    <w:rsid w:val="00195C49"/>
    <w:rsid w:val="00196036"/>
    <w:rsid w:val="00196076"/>
    <w:rsid w:val="001963FF"/>
    <w:rsid w:val="001A03FE"/>
    <w:rsid w:val="001A0B22"/>
    <w:rsid w:val="001A0C0E"/>
    <w:rsid w:val="001A0C2F"/>
    <w:rsid w:val="001A0C45"/>
    <w:rsid w:val="001A0DD5"/>
    <w:rsid w:val="001A16DE"/>
    <w:rsid w:val="001A197B"/>
    <w:rsid w:val="001A1A50"/>
    <w:rsid w:val="001A1DF2"/>
    <w:rsid w:val="001A209D"/>
    <w:rsid w:val="001A214F"/>
    <w:rsid w:val="001A2281"/>
    <w:rsid w:val="001A23DA"/>
    <w:rsid w:val="001A24D9"/>
    <w:rsid w:val="001A25C7"/>
    <w:rsid w:val="001A3481"/>
    <w:rsid w:val="001A370B"/>
    <w:rsid w:val="001A496D"/>
    <w:rsid w:val="001A4FB6"/>
    <w:rsid w:val="001A56C7"/>
    <w:rsid w:val="001A57B7"/>
    <w:rsid w:val="001A68D4"/>
    <w:rsid w:val="001A71FC"/>
    <w:rsid w:val="001A74FA"/>
    <w:rsid w:val="001B0142"/>
    <w:rsid w:val="001B0285"/>
    <w:rsid w:val="001B07C8"/>
    <w:rsid w:val="001B17D2"/>
    <w:rsid w:val="001B18F5"/>
    <w:rsid w:val="001B19E3"/>
    <w:rsid w:val="001B1A84"/>
    <w:rsid w:val="001B1FD6"/>
    <w:rsid w:val="001B21A1"/>
    <w:rsid w:val="001B327E"/>
    <w:rsid w:val="001B3C78"/>
    <w:rsid w:val="001B5EC7"/>
    <w:rsid w:val="001B5ECC"/>
    <w:rsid w:val="001B651B"/>
    <w:rsid w:val="001B67CC"/>
    <w:rsid w:val="001B6E99"/>
    <w:rsid w:val="001B7216"/>
    <w:rsid w:val="001C0389"/>
    <w:rsid w:val="001C05F6"/>
    <w:rsid w:val="001C06DD"/>
    <w:rsid w:val="001C1759"/>
    <w:rsid w:val="001C2087"/>
    <w:rsid w:val="001C2840"/>
    <w:rsid w:val="001C2E8B"/>
    <w:rsid w:val="001C3D38"/>
    <w:rsid w:val="001C4D97"/>
    <w:rsid w:val="001C5917"/>
    <w:rsid w:val="001C5A5E"/>
    <w:rsid w:val="001C5F23"/>
    <w:rsid w:val="001C62C2"/>
    <w:rsid w:val="001C65FC"/>
    <w:rsid w:val="001C6725"/>
    <w:rsid w:val="001D027C"/>
    <w:rsid w:val="001D0A54"/>
    <w:rsid w:val="001D11BE"/>
    <w:rsid w:val="001D1493"/>
    <w:rsid w:val="001D16F5"/>
    <w:rsid w:val="001D1FED"/>
    <w:rsid w:val="001D23D2"/>
    <w:rsid w:val="001D24E9"/>
    <w:rsid w:val="001D2755"/>
    <w:rsid w:val="001D2B3A"/>
    <w:rsid w:val="001D2D93"/>
    <w:rsid w:val="001D30D1"/>
    <w:rsid w:val="001D33F8"/>
    <w:rsid w:val="001D366F"/>
    <w:rsid w:val="001D3A65"/>
    <w:rsid w:val="001D3FA5"/>
    <w:rsid w:val="001D456D"/>
    <w:rsid w:val="001D4831"/>
    <w:rsid w:val="001D5615"/>
    <w:rsid w:val="001D5A3B"/>
    <w:rsid w:val="001D642A"/>
    <w:rsid w:val="001D65A0"/>
    <w:rsid w:val="001D6622"/>
    <w:rsid w:val="001D741C"/>
    <w:rsid w:val="001D7981"/>
    <w:rsid w:val="001E0111"/>
    <w:rsid w:val="001E02DE"/>
    <w:rsid w:val="001E0C1D"/>
    <w:rsid w:val="001E171C"/>
    <w:rsid w:val="001E1D40"/>
    <w:rsid w:val="001E1D45"/>
    <w:rsid w:val="001E2023"/>
    <w:rsid w:val="001E2F94"/>
    <w:rsid w:val="001E4724"/>
    <w:rsid w:val="001E5213"/>
    <w:rsid w:val="001E6532"/>
    <w:rsid w:val="001E6A57"/>
    <w:rsid w:val="001E71A4"/>
    <w:rsid w:val="001F023F"/>
    <w:rsid w:val="001F0449"/>
    <w:rsid w:val="001F0740"/>
    <w:rsid w:val="001F0BA2"/>
    <w:rsid w:val="001F1068"/>
    <w:rsid w:val="001F109C"/>
    <w:rsid w:val="001F1153"/>
    <w:rsid w:val="001F165C"/>
    <w:rsid w:val="001F16A0"/>
    <w:rsid w:val="001F2316"/>
    <w:rsid w:val="001F27DB"/>
    <w:rsid w:val="001F29BF"/>
    <w:rsid w:val="001F2F87"/>
    <w:rsid w:val="001F3816"/>
    <w:rsid w:val="001F381B"/>
    <w:rsid w:val="001F3912"/>
    <w:rsid w:val="001F3E00"/>
    <w:rsid w:val="001F434C"/>
    <w:rsid w:val="001F50B2"/>
    <w:rsid w:val="001F580D"/>
    <w:rsid w:val="001F6656"/>
    <w:rsid w:val="001F6715"/>
    <w:rsid w:val="001F6BA1"/>
    <w:rsid w:val="001F6E3F"/>
    <w:rsid w:val="001F6F1A"/>
    <w:rsid w:val="001F7261"/>
    <w:rsid w:val="001F76FB"/>
    <w:rsid w:val="00200AAC"/>
    <w:rsid w:val="00200F44"/>
    <w:rsid w:val="0020133F"/>
    <w:rsid w:val="002017B8"/>
    <w:rsid w:val="00201A36"/>
    <w:rsid w:val="00201A92"/>
    <w:rsid w:val="00202E70"/>
    <w:rsid w:val="00203A7E"/>
    <w:rsid w:val="00204397"/>
    <w:rsid w:val="002045B1"/>
    <w:rsid w:val="0020487E"/>
    <w:rsid w:val="00204EA4"/>
    <w:rsid w:val="00205D50"/>
    <w:rsid w:val="00205F61"/>
    <w:rsid w:val="002063BD"/>
    <w:rsid w:val="002068DE"/>
    <w:rsid w:val="0020793E"/>
    <w:rsid w:val="00207A61"/>
    <w:rsid w:val="002103FE"/>
    <w:rsid w:val="00211288"/>
    <w:rsid w:val="00211462"/>
    <w:rsid w:val="002115C1"/>
    <w:rsid w:val="00211D38"/>
    <w:rsid w:val="0021239F"/>
    <w:rsid w:val="00212B99"/>
    <w:rsid w:val="00213198"/>
    <w:rsid w:val="00213F0D"/>
    <w:rsid w:val="00215302"/>
    <w:rsid w:val="00216127"/>
    <w:rsid w:val="00216F0D"/>
    <w:rsid w:val="00217188"/>
    <w:rsid w:val="002175B2"/>
    <w:rsid w:val="00217835"/>
    <w:rsid w:val="00220022"/>
    <w:rsid w:val="002203E3"/>
    <w:rsid w:val="00221119"/>
    <w:rsid w:val="0022134D"/>
    <w:rsid w:val="002217EA"/>
    <w:rsid w:val="00221B54"/>
    <w:rsid w:val="002225E1"/>
    <w:rsid w:val="00223AD1"/>
    <w:rsid w:val="00223F38"/>
    <w:rsid w:val="002243D7"/>
    <w:rsid w:val="00224585"/>
    <w:rsid w:val="00224741"/>
    <w:rsid w:val="002250F9"/>
    <w:rsid w:val="00225543"/>
    <w:rsid w:val="002255B6"/>
    <w:rsid w:val="00225FA6"/>
    <w:rsid w:val="0022662E"/>
    <w:rsid w:val="00226BCE"/>
    <w:rsid w:val="00226F62"/>
    <w:rsid w:val="002274F8"/>
    <w:rsid w:val="0022753E"/>
    <w:rsid w:val="00227BA1"/>
    <w:rsid w:val="002300F7"/>
    <w:rsid w:val="002312FB"/>
    <w:rsid w:val="002314AA"/>
    <w:rsid w:val="00231BA2"/>
    <w:rsid w:val="00232264"/>
    <w:rsid w:val="002322F7"/>
    <w:rsid w:val="002324AB"/>
    <w:rsid w:val="00233B83"/>
    <w:rsid w:val="00234820"/>
    <w:rsid w:val="00234947"/>
    <w:rsid w:val="00235820"/>
    <w:rsid w:val="00235965"/>
    <w:rsid w:val="00235B90"/>
    <w:rsid w:val="00235D05"/>
    <w:rsid w:val="0023629E"/>
    <w:rsid w:val="00236901"/>
    <w:rsid w:val="00236CC4"/>
    <w:rsid w:val="002371F1"/>
    <w:rsid w:val="00237A21"/>
    <w:rsid w:val="00237E78"/>
    <w:rsid w:val="002404E7"/>
    <w:rsid w:val="00240EF8"/>
    <w:rsid w:val="002410BC"/>
    <w:rsid w:val="0024137D"/>
    <w:rsid w:val="00241391"/>
    <w:rsid w:val="00241D33"/>
    <w:rsid w:val="00241E85"/>
    <w:rsid w:val="002421E2"/>
    <w:rsid w:val="00242814"/>
    <w:rsid w:val="00243166"/>
    <w:rsid w:val="0024387F"/>
    <w:rsid w:val="00243916"/>
    <w:rsid w:val="00243D70"/>
    <w:rsid w:val="00244E2D"/>
    <w:rsid w:val="00246367"/>
    <w:rsid w:val="0024746C"/>
    <w:rsid w:val="00250F71"/>
    <w:rsid w:val="00251418"/>
    <w:rsid w:val="00251B71"/>
    <w:rsid w:val="00252775"/>
    <w:rsid w:val="00252F67"/>
    <w:rsid w:val="00252FE9"/>
    <w:rsid w:val="00253B5E"/>
    <w:rsid w:val="0025425B"/>
    <w:rsid w:val="00254A6E"/>
    <w:rsid w:val="00254DE0"/>
    <w:rsid w:val="00255E25"/>
    <w:rsid w:val="00255FAC"/>
    <w:rsid w:val="002560E8"/>
    <w:rsid w:val="00256C4D"/>
    <w:rsid w:val="00256E86"/>
    <w:rsid w:val="00257341"/>
    <w:rsid w:val="002573F6"/>
    <w:rsid w:val="0025745A"/>
    <w:rsid w:val="00260262"/>
    <w:rsid w:val="00260563"/>
    <w:rsid w:val="00260AAA"/>
    <w:rsid w:val="002613F9"/>
    <w:rsid w:val="002623D9"/>
    <w:rsid w:val="00262E1C"/>
    <w:rsid w:val="00263059"/>
    <w:rsid w:val="002631D3"/>
    <w:rsid w:val="00263D7A"/>
    <w:rsid w:val="0026512E"/>
    <w:rsid w:val="00265184"/>
    <w:rsid w:val="002657B2"/>
    <w:rsid w:val="002658D5"/>
    <w:rsid w:val="002666EE"/>
    <w:rsid w:val="00267150"/>
    <w:rsid w:val="00267498"/>
    <w:rsid w:val="00270159"/>
    <w:rsid w:val="00270933"/>
    <w:rsid w:val="002710F7"/>
    <w:rsid w:val="0027122A"/>
    <w:rsid w:val="00271BAB"/>
    <w:rsid w:val="00272249"/>
    <w:rsid w:val="00272831"/>
    <w:rsid w:val="002728E2"/>
    <w:rsid w:val="00274AB2"/>
    <w:rsid w:val="00275149"/>
    <w:rsid w:val="00275179"/>
    <w:rsid w:val="00276299"/>
    <w:rsid w:val="00276636"/>
    <w:rsid w:val="002769C0"/>
    <w:rsid w:val="00276C61"/>
    <w:rsid w:val="00276D6E"/>
    <w:rsid w:val="002770E3"/>
    <w:rsid w:val="00277437"/>
    <w:rsid w:val="002774B2"/>
    <w:rsid w:val="002817B4"/>
    <w:rsid w:val="00283743"/>
    <w:rsid w:val="00283A85"/>
    <w:rsid w:val="00283AC3"/>
    <w:rsid w:val="00283C5E"/>
    <w:rsid w:val="00284012"/>
    <w:rsid w:val="002842A2"/>
    <w:rsid w:val="002846E7"/>
    <w:rsid w:val="00284986"/>
    <w:rsid w:val="00284D1C"/>
    <w:rsid w:val="0028700D"/>
    <w:rsid w:val="00287586"/>
    <w:rsid w:val="00287D55"/>
    <w:rsid w:val="00290041"/>
    <w:rsid w:val="002904D8"/>
    <w:rsid w:val="00290AEC"/>
    <w:rsid w:val="00290C77"/>
    <w:rsid w:val="0029128C"/>
    <w:rsid w:val="0029143C"/>
    <w:rsid w:val="002915DB"/>
    <w:rsid w:val="00293229"/>
    <w:rsid w:val="002932FE"/>
    <w:rsid w:val="002937BA"/>
    <w:rsid w:val="0029534A"/>
    <w:rsid w:val="002957D0"/>
    <w:rsid w:val="002959D2"/>
    <w:rsid w:val="00296BDF"/>
    <w:rsid w:val="00296DFC"/>
    <w:rsid w:val="00297365"/>
    <w:rsid w:val="002A1F1B"/>
    <w:rsid w:val="002A2154"/>
    <w:rsid w:val="002A282C"/>
    <w:rsid w:val="002A3108"/>
    <w:rsid w:val="002A310F"/>
    <w:rsid w:val="002A4943"/>
    <w:rsid w:val="002A5388"/>
    <w:rsid w:val="002A580E"/>
    <w:rsid w:val="002A58BC"/>
    <w:rsid w:val="002A5C66"/>
    <w:rsid w:val="002A610A"/>
    <w:rsid w:val="002A6D69"/>
    <w:rsid w:val="002A74A0"/>
    <w:rsid w:val="002B041E"/>
    <w:rsid w:val="002B0755"/>
    <w:rsid w:val="002B0BEA"/>
    <w:rsid w:val="002B0EA0"/>
    <w:rsid w:val="002B17A1"/>
    <w:rsid w:val="002B17DE"/>
    <w:rsid w:val="002B197F"/>
    <w:rsid w:val="002B1FE3"/>
    <w:rsid w:val="002B2193"/>
    <w:rsid w:val="002B28BF"/>
    <w:rsid w:val="002B3387"/>
    <w:rsid w:val="002B420A"/>
    <w:rsid w:val="002B47A1"/>
    <w:rsid w:val="002B4B97"/>
    <w:rsid w:val="002B506B"/>
    <w:rsid w:val="002B513E"/>
    <w:rsid w:val="002B5B49"/>
    <w:rsid w:val="002B6813"/>
    <w:rsid w:val="002B6D25"/>
    <w:rsid w:val="002B7982"/>
    <w:rsid w:val="002C0069"/>
    <w:rsid w:val="002C0B73"/>
    <w:rsid w:val="002C0B76"/>
    <w:rsid w:val="002C0C08"/>
    <w:rsid w:val="002C0DD5"/>
    <w:rsid w:val="002C0FD1"/>
    <w:rsid w:val="002C1136"/>
    <w:rsid w:val="002C1746"/>
    <w:rsid w:val="002C2330"/>
    <w:rsid w:val="002C268B"/>
    <w:rsid w:val="002C2D50"/>
    <w:rsid w:val="002C41EA"/>
    <w:rsid w:val="002C45F7"/>
    <w:rsid w:val="002C4B84"/>
    <w:rsid w:val="002C4CAC"/>
    <w:rsid w:val="002C5174"/>
    <w:rsid w:val="002C59E9"/>
    <w:rsid w:val="002C5EC5"/>
    <w:rsid w:val="002C5F28"/>
    <w:rsid w:val="002C6740"/>
    <w:rsid w:val="002C7A3E"/>
    <w:rsid w:val="002C7BDA"/>
    <w:rsid w:val="002C7D76"/>
    <w:rsid w:val="002D01F2"/>
    <w:rsid w:val="002D088A"/>
    <w:rsid w:val="002D0E7C"/>
    <w:rsid w:val="002D0EC3"/>
    <w:rsid w:val="002D0F98"/>
    <w:rsid w:val="002D1734"/>
    <w:rsid w:val="002D17DC"/>
    <w:rsid w:val="002D1D27"/>
    <w:rsid w:val="002D20C0"/>
    <w:rsid w:val="002D2472"/>
    <w:rsid w:val="002D2723"/>
    <w:rsid w:val="002D27D0"/>
    <w:rsid w:val="002D2803"/>
    <w:rsid w:val="002D288F"/>
    <w:rsid w:val="002D2FAD"/>
    <w:rsid w:val="002D32E5"/>
    <w:rsid w:val="002D3872"/>
    <w:rsid w:val="002D3E12"/>
    <w:rsid w:val="002D4139"/>
    <w:rsid w:val="002D4220"/>
    <w:rsid w:val="002D6262"/>
    <w:rsid w:val="002D6487"/>
    <w:rsid w:val="002D67E3"/>
    <w:rsid w:val="002D75AA"/>
    <w:rsid w:val="002E00B7"/>
    <w:rsid w:val="002E0BC9"/>
    <w:rsid w:val="002E0BF0"/>
    <w:rsid w:val="002E0DF5"/>
    <w:rsid w:val="002E16F5"/>
    <w:rsid w:val="002E2B1B"/>
    <w:rsid w:val="002E3760"/>
    <w:rsid w:val="002E3B01"/>
    <w:rsid w:val="002E4675"/>
    <w:rsid w:val="002E5240"/>
    <w:rsid w:val="002E5949"/>
    <w:rsid w:val="002E630B"/>
    <w:rsid w:val="002E63E7"/>
    <w:rsid w:val="002E65F4"/>
    <w:rsid w:val="002E6878"/>
    <w:rsid w:val="002E7003"/>
    <w:rsid w:val="002E73EE"/>
    <w:rsid w:val="002E7C7C"/>
    <w:rsid w:val="002F10FE"/>
    <w:rsid w:val="002F160C"/>
    <w:rsid w:val="002F19AE"/>
    <w:rsid w:val="002F1D72"/>
    <w:rsid w:val="002F1E24"/>
    <w:rsid w:val="002F23A7"/>
    <w:rsid w:val="002F2AB4"/>
    <w:rsid w:val="002F2DED"/>
    <w:rsid w:val="002F2E2A"/>
    <w:rsid w:val="002F2F69"/>
    <w:rsid w:val="002F3174"/>
    <w:rsid w:val="002F3987"/>
    <w:rsid w:val="002F3C43"/>
    <w:rsid w:val="002F3F18"/>
    <w:rsid w:val="002F4778"/>
    <w:rsid w:val="002F5464"/>
    <w:rsid w:val="002F5632"/>
    <w:rsid w:val="002F6400"/>
    <w:rsid w:val="002F66D4"/>
    <w:rsid w:val="002F67A0"/>
    <w:rsid w:val="002F6AAD"/>
    <w:rsid w:val="002F6F4A"/>
    <w:rsid w:val="002F710D"/>
    <w:rsid w:val="002F741C"/>
    <w:rsid w:val="002F78F8"/>
    <w:rsid w:val="002F7A24"/>
    <w:rsid w:val="00301807"/>
    <w:rsid w:val="0030189A"/>
    <w:rsid w:val="00301B8F"/>
    <w:rsid w:val="00303329"/>
    <w:rsid w:val="0030336C"/>
    <w:rsid w:val="00306010"/>
    <w:rsid w:val="0030672A"/>
    <w:rsid w:val="003104C8"/>
    <w:rsid w:val="00310A78"/>
    <w:rsid w:val="00310FD0"/>
    <w:rsid w:val="0031114C"/>
    <w:rsid w:val="003112D0"/>
    <w:rsid w:val="003112EB"/>
    <w:rsid w:val="00312A6A"/>
    <w:rsid w:val="00312E99"/>
    <w:rsid w:val="003133A4"/>
    <w:rsid w:val="00313C13"/>
    <w:rsid w:val="00313CF2"/>
    <w:rsid w:val="003141C6"/>
    <w:rsid w:val="0031543F"/>
    <w:rsid w:val="00315775"/>
    <w:rsid w:val="00315A32"/>
    <w:rsid w:val="0031671C"/>
    <w:rsid w:val="00317494"/>
    <w:rsid w:val="003177A9"/>
    <w:rsid w:val="0032039A"/>
    <w:rsid w:val="00322096"/>
    <w:rsid w:val="0032273F"/>
    <w:rsid w:val="00322B76"/>
    <w:rsid w:val="00322CC1"/>
    <w:rsid w:val="003234FB"/>
    <w:rsid w:val="003235BC"/>
    <w:rsid w:val="0032386B"/>
    <w:rsid w:val="00323916"/>
    <w:rsid w:val="0032416C"/>
    <w:rsid w:val="0032462F"/>
    <w:rsid w:val="003252D7"/>
    <w:rsid w:val="003253D9"/>
    <w:rsid w:val="003254C7"/>
    <w:rsid w:val="00325EB6"/>
    <w:rsid w:val="003268E5"/>
    <w:rsid w:val="00327550"/>
    <w:rsid w:val="003275B2"/>
    <w:rsid w:val="00327616"/>
    <w:rsid w:val="00327AE7"/>
    <w:rsid w:val="00327C6E"/>
    <w:rsid w:val="00327C9B"/>
    <w:rsid w:val="00330771"/>
    <w:rsid w:val="00330780"/>
    <w:rsid w:val="00330B3C"/>
    <w:rsid w:val="003311DC"/>
    <w:rsid w:val="003313FF"/>
    <w:rsid w:val="00331B02"/>
    <w:rsid w:val="00332104"/>
    <w:rsid w:val="003325CD"/>
    <w:rsid w:val="003337BC"/>
    <w:rsid w:val="003357DB"/>
    <w:rsid w:val="00335E8A"/>
    <w:rsid w:val="00335EB1"/>
    <w:rsid w:val="003360FF"/>
    <w:rsid w:val="00336BE0"/>
    <w:rsid w:val="00336E20"/>
    <w:rsid w:val="00337849"/>
    <w:rsid w:val="00337B90"/>
    <w:rsid w:val="00337BCB"/>
    <w:rsid w:val="0034038B"/>
    <w:rsid w:val="0034067C"/>
    <w:rsid w:val="00340B25"/>
    <w:rsid w:val="00340C7E"/>
    <w:rsid w:val="003422BF"/>
    <w:rsid w:val="003424DB"/>
    <w:rsid w:val="003425C1"/>
    <w:rsid w:val="00342821"/>
    <w:rsid w:val="00342957"/>
    <w:rsid w:val="00342FA5"/>
    <w:rsid w:val="0034344D"/>
    <w:rsid w:val="003435C9"/>
    <w:rsid w:val="0034370C"/>
    <w:rsid w:val="0034388B"/>
    <w:rsid w:val="00343945"/>
    <w:rsid w:val="00343C16"/>
    <w:rsid w:val="003450EE"/>
    <w:rsid w:val="00345843"/>
    <w:rsid w:val="003464B7"/>
    <w:rsid w:val="003464D7"/>
    <w:rsid w:val="00347706"/>
    <w:rsid w:val="00347CEA"/>
    <w:rsid w:val="003517E8"/>
    <w:rsid w:val="00352030"/>
    <w:rsid w:val="00352416"/>
    <w:rsid w:val="003525F6"/>
    <w:rsid w:val="00352BAB"/>
    <w:rsid w:val="00352D1C"/>
    <w:rsid w:val="00352F6B"/>
    <w:rsid w:val="003537C0"/>
    <w:rsid w:val="00353AB8"/>
    <w:rsid w:val="00353BA9"/>
    <w:rsid w:val="00353DC1"/>
    <w:rsid w:val="00354242"/>
    <w:rsid w:val="0035448A"/>
    <w:rsid w:val="003544C2"/>
    <w:rsid w:val="0035482D"/>
    <w:rsid w:val="00354B5D"/>
    <w:rsid w:val="0035507C"/>
    <w:rsid w:val="003554B4"/>
    <w:rsid w:val="00355CC3"/>
    <w:rsid w:val="00355FEC"/>
    <w:rsid w:val="00356AA5"/>
    <w:rsid w:val="00356C2A"/>
    <w:rsid w:val="00357C3D"/>
    <w:rsid w:val="0036076E"/>
    <w:rsid w:val="003609BB"/>
    <w:rsid w:val="00360ECC"/>
    <w:rsid w:val="0036126E"/>
    <w:rsid w:val="003616D5"/>
    <w:rsid w:val="003619F4"/>
    <w:rsid w:val="00361E58"/>
    <w:rsid w:val="00361F81"/>
    <w:rsid w:val="00362F5D"/>
    <w:rsid w:val="00363174"/>
    <w:rsid w:val="00363413"/>
    <w:rsid w:val="00363756"/>
    <w:rsid w:val="003638D5"/>
    <w:rsid w:val="003641FC"/>
    <w:rsid w:val="00364C88"/>
    <w:rsid w:val="00364CA7"/>
    <w:rsid w:val="00365219"/>
    <w:rsid w:val="0036595D"/>
    <w:rsid w:val="00366174"/>
    <w:rsid w:val="003670A5"/>
    <w:rsid w:val="00367E28"/>
    <w:rsid w:val="00370AAD"/>
    <w:rsid w:val="00370F1C"/>
    <w:rsid w:val="003711D0"/>
    <w:rsid w:val="0037174B"/>
    <w:rsid w:val="0037185E"/>
    <w:rsid w:val="00371B52"/>
    <w:rsid w:val="00371EC8"/>
    <w:rsid w:val="003727E9"/>
    <w:rsid w:val="00372936"/>
    <w:rsid w:val="00372CB0"/>
    <w:rsid w:val="00372DDD"/>
    <w:rsid w:val="00372EB9"/>
    <w:rsid w:val="00372F8B"/>
    <w:rsid w:val="00373E61"/>
    <w:rsid w:val="00374005"/>
    <w:rsid w:val="00374159"/>
    <w:rsid w:val="003744BB"/>
    <w:rsid w:val="003745D8"/>
    <w:rsid w:val="003748DF"/>
    <w:rsid w:val="003748FA"/>
    <w:rsid w:val="0037579D"/>
    <w:rsid w:val="003759D3"/>
    <w:rsid w:val="00375AC9"/>
    <w:rsid w:val="00375D39"/>
    <w:rsid w:val="003768C7"/>
    <w:rsid w:val="00376937"/>
    <w:rsid w:val="00376C12"/>
    <w:rsid w:val="003773F6"/>
    <w:rsid w:val="0037794B"/>
    <w:rsid w:val="00377CB6"/>
    <w:rsid w:val="00377F8E"/>
    <w:rsid w:val="00380326"/>
    <w:rsid w:val="00380942"/>
    <w:rsid w:val="003813FC"/>
    <w:rsid w:val="00381928"/>
    <w:rsid w:val="00381AAF"/>
    <w:rsid w:val="00382435"/>
    <w:rsid w:val="00382D57"/>
    <w:rsid w:val="00383F00"/>
    <w:rsid w:val="00384348"/>
    <w:rsid w:val="003847EE"/>
    <w:rsid w:val="00384B08"/>
    <w:rsid w:val="0038504F"/>
    <w:rsid w:val="003850E0"/>
    <w:rsid w:val="00385128"/>
    <w:rsid w:val="00385333"/>
    <w:rsid w:val="00385BA6"/>
    <w:rsid w:val="00385BF4"/>
    <w:rsid w:val="00385C15"/>
    <w:rsid w:val="00386908"/>
    <w:rsid w:val="00390637"/>
    <w:rsid w:val="0039066A"/>
    <w:rsid w:val="003908FF"/>
    <w:rsid w:val="0039114B"/>
    <w:rsid w:val="0039169C"/>
    <w:rsid w:val="00391B99"/>
    <w:rsid w:val="00391EFA"/>
    <w:rsid w:val="003926C3"/>
    <w:rsid w:val="00392C59"/>
    <w:rsid w:val="00393189"/>
    <w:rsid w:val="00393469"/>
    <w:rsid w:val="00393EA7"/>
    <w:rsid w:val="00395442"/>
    <w:rsid w:val="00396172"/>
    <w:rsid w:val="00396C50"/>
    <w:rsid w:val="003973AB"/>
    <w:rsid w:val="00397586"/>
    <w:rsid w:val="00397710"/>
    <w:rsid w:val="003A058C"/>
    <w:rsid w:val="003A07CE"/>
    <w:rsid w:val="003A092E"/>
    <w:rsid w:val="003A09BC"/>
    <w:rsid w:val="003A14E4"/>
    <w:rsid w:val="003A2045"/>
    <w:rsid w:val="003A2293"/>
    <w:rsid w:val="003A26B4"/>
    <w:rsid w:val="003A2E80"/>
    <w:rsid w:val="003A3FE8"/>
    <w:rsid w:val="003A3FEB"/>
    <w:rsid w:val="003A401C"/>
    <w:rsid w:val="003A44C1"/>
    <w:rsid w:val="003A5008"/>
    <w:rsid w:val="003A5E3E"/>
    <w:rsid w:val="003A6B03"/>
    <w:rsid w:val="003A6F8A"/>
    <w:rsid w:val="003A76EE"/>
    <w:rsid w:val="003B0026"/>
    <w:rsid w:val="003B0176"/>
    <w:rsid w:val="003B02B2"/>
    <w:rsid w:val="003B19D7"/>
    <w:rsid w:val="003B1C50"/>
    <w:rsid w:val="003B229A"/>
    <w:rsid w:val="003B3166"/>
    <w:rsid w:val="003B3E19"/>
    <w:rsid w:val="003B428E"/>
    <w:rsid w:val="003B4CE1"/>
    <w:rsid w:val="003B4E3D"/>
    <w:rsid w:val="003B7501"/>
    <w:rsid w:val="003B754B"/>
    <w:rsid w:val="003C0071"/>
    <w:rsid w:val="003C0B18"/>
    <w:rsid w:val="003C1189"/>
    <w:rsid w:val="003C12A5"/>
    <w:rsid w:val="003C274F"/>
    <w:rsid w:val="003C2771"/>
    <w:rsid w:val="003C2BC8"/>
    <w:rsid w:val="003C30E4"/>
    <w:rsid w:val="003C3AB9"/>
    <w:rsid w:val="003C3E70"/>
    <w:rsid w:val="003C40B0"/>
    <w:rsid w:val="003C434B"/>
    <w:rsid w:val="003C49A0"/>
    <w:rsid w:val="003C4AEF"/>
    <w:rsid w:val="003C4D18"/>
    <w:rsid w:val="003C5207"/>
    <w:rsid w:val="003C6BE5"/>
    <w:rsid w:val="003C7181"/>
    <w:rsid w:val="003C78DF"/>
    <w:rsid w:val="003C7FC9"/>
    <w:rsid w:val="003D0E90"/>
    <w:rsid w:val="003D11A7"/>
    <w:rsid w:val="003D1BF5"/>
    <w:rsid w:val="003D27B0"/>
    <w:rsid w:val="003D30D6"/>
    <w:rsid w:val="003D34F2"/>
    <w:rsid w:val="003D3A23"/>
    <w:rsid w:val="003D3B50"/>
    <w:rsid w:val="003D431A"/>
    <w:rsid w:val="003D45DE"/>
    <w:rsid w:val="003D5419"/>
    <w:rsid w:val="003D54D6"/>
    <w:rsid w:val="003D5F15"/>
    <w:rsid w:val="003D6CE1"/>
    <w:rsid w:val="003D6D0C"/>
    <w:rsid w:val="003D75D6"/>
    <w:rsid w:val="003D789B"/>
    <w:rsid w:val="003E1668"/>
    <w:rsid w:val="003E1B33"/>
    <w:rsid w:val="003E1B57"/>
    <w:rsid w:val="003E220D"/>
    <w:rsid w:val="003E3132"/>
    <w:rsid w:val="003E3453"/>
    <w:rsid w:val="003E38D6"/>
    <w:rsid w:val="003E3B15"/>
    <w:rsid w:val="003E3E85"/>
    <w:rsid w:val="003E4C8A"/>
    <w:rsid w:val="003E4EE3"/>
    <w:rsid w:val="003E651B"/>
    <w:rsid w:val="003E6D81"/>
    <w:rsid w:val="003E740B"/>
    <w:rsid w:val="003E7C4C"/>
    <w:rsid w:val="003E7E45"/>
    <w:rsid w:val="003E7E6A"/>
    <w:rsid w:val="003F09AF"/>
    <w:rsid w:val="003F0A0A"/>
    <w:rsid w:val="003F125E"/>
    <w:rsid w:val="003F162D"/>
    <w:rsid w:val="003F170A"/>
    <w:rsid w:val="003F25FB"/>
    <w:rsid w:val="003F289B"/>
    <w:rsid w:val="003F4742"/>
    <w:rsid w:val="003F48D4"/>
    <w:rsid w:val="003F4BEE"/>
    <w:rsid w:val="003F521B"/>
    <w:rsid w:val="003F543A"/>
    <w:rsid w:val="003F56D0"/>
    <w:rsid w:val="003F5846"/>
    <w:rsid w:val="003F5AC2"/>
    <w:rsid w:val="003F691B"/>
    <w:rsid w:val="003F69B7"/>
    <w:rsid w:val="003F6DB9"/>
    <w:rsid w:val="003F7321"/>
    <w:rsid w:val="003F733A"/>
    <w:rsid w:val="003F7827"/>
    <w:rsid w:val="0040004A"/>
    <w:rsid w:val="00400BDC"/>
    <w:rsid w:val="00402193"/>
    <w:rsid w:val="004025C5"/>
    <w:rsid w:val="004027F5"/>
    <w:rsid w:val="004029F8"/>
    <w:rsid w:val="00402B0C"/>
    <w:rsid w:val="00402CDE"/>
    <w:rsid w:val="0040340D"/>
    <w:rsid w:val="0040352B"/>
    <w:rsid w:val="00403684"/>
    <w:rsid w:val="00403FDF"/>
    <w:rsid w:val="0040405B"/>
    <w:rsid w:val="00404141"/>
    <w:rsid w:val="0040512C"/>
    <w:rsid w:val="004055D3"/>
    <w:rsid w:val="004056A0"/>
    <w:rsid w:val="00405F65"/>
    <w:rsid w:val="00406198"/>
    <w:rsid w:val="00406AE2"/>
    <w:rsid w:val="00406E0A"/>
    <w:rsid w:val="004073EE"/>
    <w:rsid w:val="00407963"/>
    <w:rsid w:val="00407F12"/>
    <w:rsid w:val="00407FE2"/>
    <w:rsid w:val="00410E7F"/>
    <w:rsid w:val="00410E91"/>
    <w:rsid w:val="0041164B"/>
    <w:rsid w:val="00411C5F"/>
    <w:rsid w:val="00412C03"/>
    <w:rsid w:val="00412EE4"/>
    <w:rsid w:val="0041307A"/>
    <w:rsid w:val="0041325F"/>
    <w:rsid w:val="004136CA"/>
    <w:rsid w:val="00413AA0"/>
    <w:rsid w:val="00414124"/>
    <w:rsid w:val="00414265"/>
    <w:rsid w:val="00416782"/>
    <w:rsid w:val="00416937"/>
    <w:rsid w:val="00417519"/>
    <w:rsid w:val="00417620"/>
    <w:rsid w:val="00420BE2"/>
    <w:rsid w:val="00422866"/>
    <w:rsid w:val="00422C1B"/>
    <w:rsid w:val="00423A5C"/>
    <w:rsid w:val="00423BEF"/>
    <w:rsid w:val="004245E6"/>
    <w:rsid w:val="004251E1"/>
    <w:rsid w:val="00425D8D"/>
    <w:rsid w:val="004261EA"/>
    <w:rsid w:val="004267E0"/>
    <w:rsid w:val="00426BAB"/>
    <w:rsid w:val="00426C78"/>
    <w:rsid w:val="00426D58"/>
    <w:rsid w:val="004275E2"/>
    <w:rsid w:val="00427A12"/>
    <w:rsid w:val="00427A71"/>
    <w:rsid w:val="00430371"/>
    <w:rsid w:val="004308A4"/>
    <w:rsid w:val="00430A77"/>
    <w:rsid w:val="00430A88"/>
    <w:rsid w:val="00431458"/>
    <w:rsid w:val="0043223A"/>
    <w:rsid w:val="0043235F"/>
    <w:rsid w:val="00432626"/>
    <w:rsid w:val="00432B55"/>
    <w:rsid w:val="00433A5A"/>
    <w:rsid w:val="00433B5C"/>
    <w:rsid w:val="00434D18"/>
    <w:rsid w:val="0043506E"/>
    <w:rsid w:val="004352A8"/>
    <w:rsid w:val="004356E6"/>
    <w:rsid w:val="00435AFC"/>
    <w:rsid w:val="004364E8"/>
    <w:rsid w:val="00436B7D"/>
    <w:rsid w:val="00440C22"/>
    <w:rsid w:val="00440E50"/>
    <w:rsid w:val="0044270A"/>
    <w:rsid w:val="00442A8F"/>
    <w:rsid w:val="00442E1D"/>
    <w:rsid w:val="00442EE5"/>
    <w:rsid w:val="0044351E"/>
    <w:rsid w:val="00444709"/>
    <w:rsid w:val="00444D66"/>
    <w:rsid w:val="0044509B"/>
    <w:rsid w:val="00445713"/>
    <w:rsid w:val="0044585C"/>
    <w:rsid w:val="004462EC"/>
    <w:rsid w:val="0044686D"/>
    <w:rsid w:val="00446E40"/>
    <w:rsid w:val="004470EE"/>
    <w:rsid w:val="00447421"/>
    <w:rsid w:val="004474FB"/>
    <w:rsid w:val="0045013F"/>
    <w:rsid w:val="00450500"/>
    <w:rsid w:val="00451262"/>
    <w:rsid w:val="0045137E"/>
    <w:rsid w:val="004513DB"/>
    <w:rsid w:val="00451513"/>
    <w:rsid w:val="00451DC3"/>
    <w:rsid w:val="00452737"/>
    <w:rsid w:val="00452878"/>
    <w:rsid w:val="00452AD0"/>
    <w:rsid w:val="00452D0D"/>
    <w:rsid w:val="00452E01"/>
    <w:rsid w:val="00454D76"/>
    <w:rsid w:val="00454EB6"/>
    <w:rsid w:val="004550FB"/>
    <w:rsid w:val="00455150"/>
    <w:rsid w:val="00455968"/>
    <w:rsid w:val="004569E4"/>
    <w:rsid w:val="00457859"/>
    <w:rsid w:val="00460C15"/>
    <w:rsid w:val="00460DCE"/>
    <w:rsid w:val="0046134A"/>
    <w:rsid w:val="0046168F"/>
    <w:rsid w:val="00461837"/>
    <w:rsid w:val="00461D1F"/>
    <w:rsid w:val="00463628"/>
    <w:rsid w:val="00463AA8"/>
    <w:rsid w:val="004655F7"/>
    <w:rsid w:val="00465C40"/>
    <w:rsid w:val="00465CD8"/>
    <w:rsid w:val="004664F4"/>
    <w:rsid w:val="004668ED"/>
    <w:rsid w:val="004672B1"/>
    <w:rsid w:val="00467C8E"/>
    <w:rsid w:val="00467EC7"/>
    <w:rsid w:val="004707D3"/>
    <w:rsid w:val="00471064"/>
    <w:rsid w:val="00471B6D"/>
    <w:rsid w:val="00471E0A"/>
    <w:rsid w:val="004722EC"/>
    <w:rsid w:val="00472CD3"/>
    <w:rsid w:val="00473464"/>
    <w:rsid w:val="00473776"/>
    <w:rsid w:val="00473A25"/>
    <w:rsid w:val="00474E8A"/>
    <w:rsid w:val="00474F92"/>
    <w:rsid w:val="00474FB7"/>
    <w:rsid w:val="0047536F"/>
    <w:rsid w:val="004755A3"/>
    <w:rsid w:val="004758B9"/>
    <w:rsid w:val="00475D26"/>
    <w:rsid w:val="004760AA"/>
    <w:rsid w:val="00476B97"/>
    <w:rsid w:val="00476C04"/>
    <w:rsid w:val="004775E0"/>
    <w:rsid w:val="0047799A"/>
    <w:rsid w:val="0048094C"/>
    <w:rsid w:val="004814F7"/>
    <w:rsid w:val="0048160E"/>
    <w:rsid w:val="004816D1"/>
    <w:rsid w:val="00482738"/>
    <w:rsid w:val="004828A6"/>
    <w:rsid w:val="00482937"/>
    <w:rsid w:val="004832C9"/>
    <w:rsid w:val="004834DF"/>
    <w:rsid w:val="00484AD9"/>
    <w:rsid w:val="00484BD8"/>
    <w:rsid w:val="0048539F"/>
    <w:rsid w:val="00485CDC"/>
    <w:rsid w:val="00485E6B"/>
    <w:rsid w:val="004860BD"/>
    <w:rsid w:val="004870A9"/>
    <w:rsid w:val="00487AC5"/>
    <w:rsid w:val="00490A7E"/>
    <w:rsid w:val="00490DDB"/>
    <w:rsid w:val="00490DE9"/>
    <w:rsid w:val="00491040"/>
    <w:rsid w:val="004910FA"/>
    <w:rsid w:val="00491450"/>
    <w:rsid w:val="00491959"/>
    <w:rsid w:val="00491D46"/>
    <w:rsid w:val="00491FD5"/>
    <w:rsid w:val="0049240F"/>
    <w:rsid w:val="00492435"/>
    <w:rsid w:val="004926BC"/>
    <w:rsid w:val="004926C4"/>
    <w:rsid w:val="004941A8"/>
    <w:rsid w:val="00495D47"/>
    <w:rsid w:val="00495D6A"/>
    <w:rsid w:val="00496486"/>
    <w:rsid w:val="004967B3"/>
    <w:rsid w:val="00496BBD"/>
    <w:rsid w:val="00496BF9"/>
    <w:rsid w:val="00497071"/>
    <w:rsid w:val="004971A6"/>
    <w:rsid w:val="004976AD"/>
    <w:rsid w:val="00497814"/>
    <w:rsid w:val="00497839"/>
    <w:rsid w:val="00497B13"/>
    <w:rsid w:val="004A00CA"/>
    <w:rsid w:val="004A088E"/>
    <w:rsid w:val="004A0E58"/>
    <w:rsid w:val="004A18F7"/>
    <w:rsid w:val="004A1D31"/>
    <w:rsid w:val="004A1EC4"/>
    <w:rsid w:val="004A20D8"/>
    <w:rsid w:val="004A2E43"/>
    <w:rsid w:val="004A2EC7"/>
    <w:rsid w:val="004A38A8"/>
    <w:rsid w:val="004A414B"/>
    <w:rsid w:val="004A4C32"/>
    <w:rsid w:val="004A582D"/>
    <w:rsid w:val="004A6C95"/>
    <w:rsid w:val="004A7B3A"/>
    <w:rsid w:val="004B0394"/>
    <w:rsid w:val="004B09BA"/>
    <w:rsid w:val="004B09F7"/>
    <w:rsid w:val="004B0ECF"/>
    <w:rsid w:val="004B0F83"/>
    <w:rsid w:val="004B1105"/>
    <w:rsid w:val="004B1555"/>
    <w:rsid w:val="004B1576"/>
    <w:rsid w:val="004B1880"/>
    <w:rsid w:val="004B2C36"/>
    <w:rsid w:val="004B2C97"/>
    <w:rsid w:val="004B4B5B"/>
    <w:rsid w:val="004B4BF8"/>
    <w:rsid w:val="004B5288"/>
    <w:rsid w:val="004B568F"/>
    <w:rsid w:val="004B57BF"/>
    <w:rsid w:val="004B589F"/>
    <w:rsid w:val="004B5D05"/>
    <w:rsid w:val="004B5E82"/>
    <w:rsid w:val="004B658F"/>
    <w:rsid w:val="004B67C8"/>
    <w:rsid w:val="004B6F0E"/>
    <w:rsid w:val="004B7114"/>
    <w:rsid w:val="004B7265"/>
    <w:rsid w:val="004B790A"/>
    <w:rsid w:val="004C0254"/>
    <w:rsid w:val="004C039E"/>
    <w:rsid w:val="004C18DA"/>
    <w:rsid w:val="004C22F1"/>
    <w:rsid w:val="004C2EFE"/>
    <w:rsid w:val="004C3346"/>
    <w:rsid w:val="004C3645"/>
    <w:rsid w:val="004C38C2"/>
    <w:rsid w:val="004C3D15"/>
    <w:rsid w:val="004C3F4F"/>
    <w:rsid w:val="004C425B"/>
    <w:rsid w:val="004C430F"/>
    <w:rsid w:val="004C469E"/>
    <w:rsid w:val="004C482A"/>
    <w:rsid w:val="004C51B7"/>
    <w:rsid w:val="004C526B"/>
    <w:rsid w:val="004C5760"/>
    <w:rsid w:val="004C5DB3"/>
    <w:rsid w:val="004C5E43"/>
    <w:rsid w:val="004C5F7C"/>
    <w:rsid w:val="004C60DF"/>
    <w:rsid w:val="004C62DF"/>
    <w:rsid w:val="004C6545"/>
    <w:rsid w:val="004C6E96"/>
    <w:rsid w:val="004C6F49"/>
    <w:rsid w:val="004C7220"/>
    <w:rsid w:val="004C739C"/>
    <w:rsid w:val="004C799E"/>
    <w:rsid w:val="004C7BCB"/>
    <w:rsid w:val="004D04F4"/>
    <w:rsid w:val="004D0672"/>
    <w:rsid w:val="004D0DE7"/>
    <w:rsid w:val="004D0E1D"/>
    <w:rsid w:val="004D19F0"/>
    <w:rsid w:val="004D1A06"/>
    <w:rsid w:val="004D1E15"/>
    <w:rsid w:val="004D1E5D"/>
    <w:rsid w:val="004D1E87"/>
    <w:rsid w:val="004D28A5"/>
    <w:rsid w:val="004D2FE3"/>
    <w:rsid w:val="004D38BF"/>
    <w:rsid w:val="004D412B"/>
    <w:rsid w:val="004D4D61"/>
    <w:rsid w:val="004D4F53"/>
    <w:rsid w:val="004D5372"/>
    <w:rsid w:val="004D5F2A"/>
    <w:rsid w:val="004D6E78"/>
    <w:rsid w:val="004D7E6D"/>
    <w:rsid w:val="004E00A8"/>
    <w:rsid w:val="004E089E"/>
    <w:rsid w:val="004E0AD9"/>
    <w:rsid w:val="004E0AE7"/>
    <w:rsid w:val="004E1055"/>
    <w:rsid w:val="004E1B9F"/>
    <w:rsid w:val="004E1C02"/>
    <w:rsid w:val="004E23A7"/>
    <w:rsid w:val="004E24E4"/>
    <w:rsid w:val="004E2646"/>
    <w:rsid w:val="004E287E"/>
    <w:rsid w:val="004E4314"/>
    <w:rsid w:val="004E452E"/>
    <w:rsid w:val="004E5A50"/>
    <w:rsid w:val="004E63F6"/>
    <w:rsid w:val="004E7F5B"/>
    <w:rsid w:val="004E7FF1"/>
    <w:rsid w:val="004F026C"/>
    <w:rsid w:val="004F1070"/>
    <w:rsid w:val="004F39D8"/>
    <w:rsid w:val="004F45CB"/>
    <w:rsid w:val="004F4F48"/>
    <w:rsid w:val="004F4F8A"/>
    <w:rsid w:val="004F5083"/>
    <w:rsid w:val="004F5118"/>
    <w:rsid w:val="004F51CB"/>
    <w:rsid w:val="004F58F8"/>
    <w:rsid w:val="004F6404"/>
    <w:rsid w:val="004F6648"/>
    <w:rsid w:val="004F6948"/>
    <w:rsid w:val="004F6C6C"/>
    <w:rsid w:val="004F749A"/>
    <w:rsid w:val="004F74CA"/>
    <w:rsid w:val="004F756D"/>
    <w:rsid w:val="004F76AD"/>
    <w:rsid w:val="004F78F3"/>
    <w:rsid w:val="00500425"/>
    <w:rsid w:val="00500FA1"/>
    <w:rsid w:val="005011BF"/>
    <w:rsid w:val="00502271"/>
    <w:rsid w:val="005028BA"/>
    <w:rsid w:val="0050294C"/>
    <w:rsid w:val="0050323B"/>
    <w:rsid w:val="005034D1"/>
    <w:rsid w:val="0050393E"/>
    <w:rsid w:val="00504D56"/>
    <w:rsid w:val="00504E52"/>
    <w:rsid w:val="005054C6"/>
    <w:rsid w:val="005077FF"/>
    <w:rsid w:val="005078FC"/>
    <w:rsid w:val="00507D81"/>
    <w:rsid w:val="00510722"/>
    <w:rsid w:val="005108A8"/>
    <w:rsid w:val="00511304"/>
    <w:rsid w:val="00511583"/>
    <w:rsid w:val="00511FEE"/>
    <w:rsid w:val="005124A0"/>
    <w:rsid w:val="005127B8"/>
    <w:rsid w:val="00512848"/>
    <w:rsid w:val="00512CF4"/>
    <w:rsid w:val="00512DA4"/>
    <w:rsid w:val="0051315E"/>
    <w:rsid w:val="00514A2A"/>
    <w:rsid w:val="00514D3E"/>
    <w:rsid w:val="005155ED"/>
    <w:rsid w:val="00516117"/>
    <w:rsid w:val="00517724"/>
    <w:rsid w:val="0052034B"/>
    <w:rsid w:val="00520549"/>
    <w:rsid w:val="005206FB"/>
    <w:rsid w:val="005212DF"/>
    <w:rsid w:val="0052142D"/>
    <w:rsid w:val="00521501"/>
    <w:rsid w:val="0052253C"/>
    <w:rsid w:val="00522EB5"/>
    <w:rsid w:val="005248E1"/>
    <w:rsid w:val="00524925"/>
    <w:rsid w:val="00524AFE"/>
    <w:rsid w:val="00525221"/>
    <w:rsid w:val="00525415"/>
    <w:rsid w:val="005255DC"/>
    <w:rsid w:val="00526475"/>
    <w:rsid w:val="005267B2"/>
    <w:rsid w:val="0052758E"/>
    <w:rsid w:val="00530AA7"/>
    <w:rsid w:val="0053110D"/>
    <w:rsid w:val="0053138C"/>
    <w:rsid w:val="00531BA2"/>
    <w:rsid w:val="00531FB9"/>
    <w:rsid w:val="00532703"/>
    <w:rsid w:val="00532872"/>
    <w:rsid w:val="00532876"/>
    <w:rsid w:val="00532ACE"/>
    <w:rsid w:val="00532FD0"/>
    <w:rsid w:val="005334CB"/>
    <w:rsid w:val="00533FE4"/>
    <w:rsid w:val="005346C7"/>
    <w:rsid w:val="00535189"/>
    <w:rsid w:val="005360C5"/>
    <w:rsid w:val="005367BA"/>
    <w:rsid w:val="00536F23"/>
    <w:rsid w:val="00536F9A"/>
    <w:rsid w:val="00537A41"/>
    <w:rsid w:val="00537ABE"/>
    <w:rsid w:val="00540BF7"/>
    <w:rsid w:val="005411C7"/>
    <w:rsid w:val="005419D6"/>
    <w:rsid w:val="00541CB5"/>
    <w:rsid w:val="00542407"/>
    <w:rsid w:val="00542771"/>
    <w:rsid w:val="00542DA8"/>
    <w:rsid w:val="00543037"/>
    <w:rsid w:val="00543E6F"/>
    <w:rsid w:val="00545173"/>
    <w:rsid w:val="005457F4"/>
    <w:rsid w:val="00545A56"/>
    <w:rsid w:val="00545DCC"/>
    <w:rsid w:val="0054667E"/>
    <w:rsid w:val="00546ABC"/>
    <w:rsid w:val="0054792F"/>
    <w:rsid w:val="00550000"/>
    <w:rsid w:val="00550681"/>
    <w:rsid w:val="005507A5"/>
    <w:rsid w:val="00550821"/>
    <w:rsid w:val="00550F19"/>
    <w:rsid w:val="00550FA1"/>
    <w:rsid w:val="005510C2"/>
    <w:rsid w:val="00551385"/>
    <w:rsid w:val="005521FB"/>
    <w:rsid w:val="00553493"/>
    <w:rsid w:val="00553B99"/>
    <w:rsid w:val="0055496A"/>
    <w:rsid w:val="00555920"/>
    <w:rsid w:val="00555B94"/>
    <w:rsid w:val="00557050"/>
    <w:rsid w:val="00557324"/>
    <w:rsid w:val="00560380"/>
    <w:rsid w:val="005608EF"/>
    <w:rsid w:val="00560AEB"/>
    <w:rsid w:val="00560F86"/>
    <w:rsid w:val="00561462"/>
    <w:rsid w:val="00561BEB"/>
    <w:rsid w:val="00561E8A"/>
    <w:rsid w:val="0056250A"/>
    <w:rsid w:val="005637CF"/>
    <w:rsid w:val="00563BF7"/>
    <w:rsid w:val="005640AD"/>
    <w:rsid w:val="005642C4"/>
    <w:rsid w:val="00565103"/>
    <w:rsid w:val="0056597B"/>
    <w:rsid w:val="005669AD"/>
    <w:rsid w:val="0056715D"/>
    <w:rsid w:val="005671CD"/>
    <w:rsid w:val="005677C1"/>
    <w:rsid w:val="00567978"/>
    <w:rsid w:val="00567E1D"/>
    <w:rsid w:val="005705DC"/>
    <w:rsid w:val="00570A6B"/>
    <w:rsid w:val="00570CDC"/>
    <w:rsid w:val="00570FA4"/>
    <w:rsid w:val="00571242"/>
    <w:rsid w:val="00571B12"/>
    <w:rsid w:val="005733FF"/>
    <w:rsid w:val="00573501"/>
    <w:rsid w:val="0057383C"/>
    <w:rsid w:val="00573B68"/>
    <w:rsid w:val="00573C60"/>
    <w:rsid w:val="00573D86"/>
    <w:rsid w:val="005748C4"/>
    <w:rsid w:val="00575565"/>
    <w:rsid w:val="00576651"/>
    <w:rsid w:val="00576865"/>
    <w:rsid w:val="00576947"/>
    <w:rsid w:val="005769EF"/>
    <w:rsid w:val="00577179"/>
    <w:rsid w:val="005775A1"/>
    <w:rsid w:val="00580645"/>
    <w:rsid w:val="00580A7B"/>
    <w:rsid w:val="00580AD0"/>
    <w:rsid w:val="00583D7D"/>
    <w:rsid w:val="00585343"/>
    <w:rsid w:val="00585AA1"/>
    <w:rsid w:val="00585ADA"/>
    <w:rsid w:val="00585FD7"/>
    <w:rsid w:val="00586499"/>
    <w:rsid w:val="0058663C"/>
    <w:rsid w:val="00587598"/>
    <w:rsid w:val="00587C1F"/>
    <w:rsid w:val="005900D2"/>
    <w:rsid w:val="00590C86"/>
    <w:rsid w:val="00590FA5"/>
    <w:rsid w:val="005911D3"/>
    <w:rsid w:val="00592495"/>
    <w:rsid w:val="0059251C"/>
    <w:rsid w:val="0059291E"/>
    <w:rsid w:val="00592A0F"/>
    <w:rsid w:val="00592EAB"/>
    <w:rsid w:val="00592EC3"/>
    <w:rsid w:val="00593CB0"/>
    <w:rsid w:val="00593D36"/>
    <w:rsid w:val="00594485"/>
    <w:rsid w:val="00594875"/>
    <w:rsid w:val="00594DBB"/>
    <w:rsid w:val="00594F60"/>
    <w:rsid w:val="00595997"/>
    <w:rsid w:val="00595A49"/>
    <w:rsid w:val="00595BC1"/>
    <w:rsid w:val="0059604D"/>
    <w:rsid w:val="005962E4"/>
    <w:rsid w:val="005963A3"/>
    <w:rsid w:val="00596691"/>
    <w:rsid w:val="0059671F"/>
    <w:rsid w:val="00596BE6"/>
    <w:rsid w:val="005970A5"/>
    <w:rsid w:val="005A017B"/>
    <w:rsid w:val="005A02B2"/>
    <w:rsid w:val="005A0943"/>
    <w:rsid w:val="005A0950"/>
    <w:rsid w:val="005A11BE"/>
    <w:rsid w:val="005A167B"/>
    <w:rsid w:val="005A22DE"/>
    <w:rsid w:val="005A2678"/>
    <w:rsid w:val="005A2890"/>
    <w:rsid w:val="005A29F9"/>
    <w:rsid w:val="005A3004"/>
    <w:rsid w:val="005A31CF"/>
    <w:rsid w:val="005A37FB"/>
    <w:rsid w:val="005A3BA2"/>
    <w:rsid w:val="005A400B"/>
    <w:rsid w:val="005A4618"/>
    <w:rsid w:val="005A490F"/>
    <w:rsid w:val="005A5304"/>
    <w:rsid w:val="005A5EDB"/>
    <w:rsid w:val="005A6520"/>
    <w:rsid w:val="005A6656"/>
    <w:rsid w:val="005A6D20"/>
    <w:rsid w:val="005A733F"/>
    <w:rsid w:val="005A7C6E"/>
    <w:rsid w:val="005A7CD8"/>
    <w:rsid w:val="005A7FD5"/>
    <w:rsid w:val="005B020B"/>
    <w:rsid w:val="005B060A"/>
    <w:rsid w:val="005B2552"/>
    <w:rsid w:val="005B335A"/>
    <w:rsid w:val="005B3428"/>
    <w:rsid w:val="005B35AB"/>
    <w:rsid w:val="005B36CC"/>
    <w:rsid w:val="005B3DEA"/>
    <w:rsid w:val="005B419B"/>
    <w:rsid w:val="005B487B"/>
    <w:rsid w:val="005B4B5C"/>
    <w:rsid w:val="005B4CED"/>
    <w:rsid w:val="005B5167"/>
    <w:rsid w:val="005B54E1"/>
    <w:rsid w:val="005B55B0"/>
    <w:rsid w:val="005B5A38"/>
    <w:rsid w:val="005B5C56"/>
    <w:rsid w:val="005B61EC"/>
    <w:rsid w:val="005B6D82"/>
    <w:rsid w:val="005B7983"/>
    <w:rsid w:val="005C0DCE"/>
    <w:rsid w:val="005C1650"/>
    <w:rsid w:val="005C2215"/>
    <w:rsid w:val="005C2780"/>
    <w:rsid w:val="005C27AE"/>
    <w:rsid w:val="005C31D4"/>
    <w:rsid w:val="005C390A"/>
    <w:rsid w:val="005C3CB7"/>
    <w:rsid w:val="005C3ECA"/>
    <w:rsid w:val="005C48FB"/>
    <w:rsid w:val="005C492A"/>
    <w:rsid w:val="005C4BF8"/>
    <w:rsid w:val="005C4DDB"/>
    <w:rsid w:val="005C4EF3"/>
    <w:rsid w:val="005C5616"/>
    <w:rsid w:val="005C58C1"/>
    <w:rsid w:val="005C5C4C"/>
    <w:rsid w:val="005C64D1"/>
    <w:rsid w:val="005C723E"/>
    <w:rsid w:val="005D09D5"/>
    <w:rsid w:val="005D0C51"/>
    <w:rsid w:val="005D110F"/>
    <w:rsid w:val="005D1641"/>
    <w:rsid w:val="005D18CE"/>
    <w:rsid w:val="005D1B88"/>
    <w:rsid w:val="005D1EC2"/>
    <w:rsid w:val="005D20D7"/>
    <w:rsid w:val="005D23B7"/>
    <w:rsid w:val="005D27EC"/>
    <w:rsid w:val="005D292A"/>
    <w:rsid w:val="005D2CCF"/>
    <w:rsid w:val="005D3488"/>
    <w:rsid w:val="005D361A"/>
    <w:rsid w:val="005D3E35"/>
    <w:rsid w:val="005D4500"/>
    <w:rsid w:val="005D4660"/>
    <w:rsid w:val="005D4862"/>
    <w:rsid w:val="005D4F2F"/>
    <w:rsid w:val="005D5095"/>
    <w:rsid w:val="005D5119"/>
    <w:rsid w:val="005D58AC"/>
    <w:rsid w:val="005D5EB1"/>
    <w:rsid w:val="005D669E"/>
    <w:rsid w:val="005D684F"/>
    <w:rsid w:val="005D6BE1"/>
    <w:rsid w:val="005D7712"/>
    <w:rsid w:val="005D7F97"/>
    <w:rsid w:val="005E04FC"/>
    <w:rsid w:val="005E0720"/>
    <w:rsid w:val="005E0987"/>
    <w:rsid w:val="005E0B9B"/>
    <w:rsid w:val="005E0E97"/>
    <w:rsid w:val="005E10DF"/>
    <w:rsid w:val="005E118D"/>
    <w:rsid w:val="005E1804"/>
    <w:rsid w:val="005E2070"/>
    <w:rsid w:val="005E2116"/>
    <w:rsid w:val="005E2738"/>
    <w:rsid w:val="005E2BE9"/>
    <w:rsid w:val="005E4A6E"/>
    <w:rsid w:val="005E4B6E"/>
    <w:rsid w:val="005E4CB6"/>
    <w:rsid w:val="005E506E"/>
    <w:rsid w:val="005E553A"/>
    <w:rsid w:val="005E5D66"/>
    <w:rsid w:val="005E6449"/>
    <w:rsid w:val="005E7457"/>
    <w:rsid w:val="005E74FD"/>
    <w:rsid w:val="005E780C"/>
    <w:rsid w:val="005E7A45"/>
    <w:rsid w:val="005F0818"/>
    <w:rsid w:val="005F0D11"/>
    <w:rsid w:val="005F0D9E"/>
    <w:rsid w:val="005F1577"/>
    <w:rsid w:val="005F18B8"/>
    <w:rsid w:val="005F2231"/>
    <w:rsid w:val="005F2BA9"/>
    <w:rsid w:val="005F2DC4"/>
    <w:rsid w:val="005F3AFA"/>
    <w:rsid w:val="005F3E96"/>
    <w:rsid w:val="005F4196"/>
    <w:rsid w:val="005F471F"/>
    <w:rsid w:val="005F4C6B"/>
    <w:rsid w:val="005F539E"/>
    <w:rsid w:val="005F5A19"/>
    <w:rsid w:val="005F5CCE"/>
    <w:rsid w:val="005F5E24"/>
    <w:rsid w:val="005F6899"/>
    <w:rsid w:val="005F6983"/>
    <w:rsid w:val="005F722C"/>
    <w:rsid w:val="005F7BC5"/>
    <w:rsid w:val="00600DA3"/>
    <w:rsid w:val="00601319"/>
    <w:rsid w:val="006018C0"/>
    <w:rsid w:val="00601A7C"/>
    <w:rsid w:val="00601FF9"/>
    <w:rsid w:val="0060209A"/>
    <w:rsid w:val="00602686"/>
    <w:rsid w:val="006029B9"/>
    <w:rsid w:val="006038E7"/>
    <w:rsid w:val="006047B2"/>
    <w:rsid w:val="00604AC6"/>
    <w:rsid w:val="00604D48"/>
    <w:rsid w:val="00604D85"/>
    <w:rsid w:val="00605177"/>
    <w:rsid w:val="0060544F"/>
    <w:rsid w:val="00606998"/>
    <w:rsid w:val="006070C9"/>
    <w:rsid w:val="006071A6"/>
    <w:rsid w:val="006101F5"/>
    <w:rsid w:val="00610360"/>
    <w:rsid w:val="0061095E"/>
    <w:rsid w:val="00611BE5"/>
    <w:rsid w:val="0061259F"/>
    <w:rsid w:val="006126EE"/>
    <w:rsid w:val="00613140"/>
    <w:rsid w:val="00613231"/>
    <w:rsid w:val="006134A8"/>
    <w:rsid w:val="0061360B"/>
    <w:rsid w:val="00614112"/>
    <w:rsid w:val="00614311"/>
    <w:rsid w:val="0061480C"/>
    <w:rsid w:val="00615C63"/>
    <w:rsid w:val="00615C81"/>
    <w:rsid w:val="00616255"/>
    <w:rsid w:val="006163EE"/>
    <w:rsid w:val="00617C45"/>
    <w:rsid w:val="0062030F"/>
    <w:rsid w:val="0062077F"/>
    <w:rsid w:val="00620A49"/>
    <w:rsid w:val="00620B7A"/>
    <w:rsid w:val="00620D48"/>
    <w:rsid w:val="00620D5B"/>
    <w:rsid w:val="00620E7A"/>
    <w:rsid w:val="006220A5"/>
    <w:rsid w:val="006220D9"/>
    <w:rsid w:val="00622814"/>
    <w:rsid w:val="00622AC5"/>
    <w:rsid w:val="00623041"/>
    <w:rsid w:val="00623586"/>
    <w:rsid w:val="00623A7A"/>
    <w:rsid w:val="00623C06"/>
    <w:rsid w:val="00623C2B"/>
    <w:rsid w:val="00624279"/>
    <w:rsid w:val="00624379"/>
    <w:rsid w:val="00625BEC"/>
    <w:rsid w:val="00626B42"/>
    <w:rsid w:val="006277E8"/>
    <w:rsid w:val="00627899"/>
    <w:rsid w:val="006301E0"/>
    <w:rsid w:val="006309D8"/>
    <w:rsid w:val="00632E9C"/>
    <w:rsid w:val="00633209"/>
    <w:rsid w:val="006342D7"/>
    <w:rsid w:val="00634322"/>
    <w:rsid w:val="006344D0"/>
    <w:rsid w:val="00634B96"/>
    <w:rsid w:val="006350CE"/>
    <w:rsid w:val="00635489"/>
    <w:rsid w:val="00635AAF"/>
    <w:rsid w:val="00635B93"/>
    <w:rsid w:val="00636216"/>
    <w:rsid w:val="006362E8"/>
    <w:rsid w:val="00636888"/>
    <w:rsid w:val="00636EEB"/>
    <w:rsid w:val="00636F0A"/>
    <w:rsid w:val="00636F94"/>
    <w:rsid w:val="006370F5"/>
    <w:rsid w:val="0063775C"/>
    <w:rsid w:val="0063794E"/>
    <w:rsid w:val="006379FD"/>
    <w:rsid w:val="00637DF5"/>
    <w:rsid w:val="00640284"/>
    <w:rsid w:val="00640806"/>
    <w:rsid w:val="00640A2E"/>
    <w:rsid w:val="00640C01"/>
    <w:rsid w:val="0064236D"/>
    <w:rsid w:val="00642726"/>
    <w:rsid w:val="00642AB1"/>
    <w:rsid w:val="00642C07"/>
    <w:rsid w:val="0064388E"/>
    <w:rsid w:val="00643A4B"/>
    <w:rsid w:val="00644004"/>
    <w:rsid w:val="00644063"/>
    <w:rsid w:val="006444CE"/>
    <w:rsid w:val="00644FB5"/>
    <w:rsid w:val="0064533E"/>
    <w:rsid w:val="0064542B"/>
    <w:rsid w:val="00645F58"/>
    <w:rsid w:val="0064678B"/>
    <w:rsid w:val="00646D9E"/>
    <w:rsid w:val="00647BF0"/>
    <w:rsid w:val="00650C60"/>
    <w:rsid w:val="00650D36"/>
    <w:rsid w:val="006510AF"/>
    <w:rsid w:val="0065117D"/>
    <w:rsid w:val="006514DC"/>
    <w:rsid w:val="0065191F"/>
    <w:rsid w:val="00651C52"/>
    <w:rsid w:val="00651C74"/>
    <w:rsid w:val="0065288F"/>
    <w:rsid w:val="00653602"/>
    <w:rsid w:val="0065416F"/>
    <w:rsid w:val="006545A0"/>
    <w:rsid w:val="006545F7"/>
    <w:rsid w:val="006548ED"/>
    <w:rsid w:val="0065630A"/>
    <w:rsid w:val="0065687E"/>
    <w:rsid w:val="0065756C"/>
    <w:rsid w:val="006575EA"/>
    <w:rsid w:val="0065792F"/>
    <w:rsid w:val="00657FED"/>
    <w:rsid w:val="00660212"/>
    <w:rsid w:val="00660487"/>
    <w:rsid w:val="00661934"/>
    <w:rsid w:val="006624AB"/>
    <w:rsid w:val="00663714"/>
    <w:rsid w:val="00663AF5"/>
    <w:rsid w:val="00663B78"/>
    <w:rsid w:val="00663EEB"/>
    <w:rsid w:val="006647A0"/>
    <w:rsid w:val="00664B82"/>
    <w:rsid w:val="00664CB2"/>
    <w:rsid w:val="006657A6"/>
    <w:rsid w:val="00665881"/>
    <w:rsid w:val="00665AA6"/>
    <w:rsid w:val="006666FC"/>
    <w:rsid w:val="00666765"/>
    <w:rsid w:val="00666BD1"/>
    <w:rsid w:val="00667815"/>
    <w:rsid w:val="00670189"/>
    <w:rsid w:val="006702A2"/>
    <w:rsid w:val="0067082D"/>
    <w:rsid w:val="0067264A"/>
    <w:rsid w:val="00672689"/>
    <w:rsid w:val="0067286E"/>
    <w:rsid w:val="00672BDF"/>
    <w:rsid w:val="0067368A"/>
    <w:rsid w:val="00674691"/>
    <w:rsid w:val="00674B2F"/>
    <w:rsid w:val="0067503D"/>
    <w:rsid w:val="00675578"/>
    <w:rsid w:val="006756CE"/>
    <w:rsid w:val="00675ACF"/>
    <w:rsid w:val="0067648F"/>
    <w:rsid w:val="00676D97"/>
    <w:rsid w:val="00677ED3"/>
    <w:rsid w:val="00680477"/>
    <w:rsid w:val="006804EC"/>
    <w:rsid w:val="0068050C"/>
    <w:rsid w:val="00680A4C"/>
    <w:rsid w:val="00680E42"/>
    <w:rsid w:val="00680FED"/>
    <w:rsid w:val="0068146D"/>
    <w:rsid w:val="006823D7"/>
    <w:rsid w:val="006829C2"/>
    <w:rsid w:val="00682A18"/>
    <w:rsid w:val="00682EC3"/>
    <w:rsid w:val="00685214"/>
    <w:rsid w:val="00685451"/>
    <w:rsid w:val="0068575E"/>
    <w:rsid w:val="00685A24"/>
    <w:rsid w:val="00685E92"/>
    <w:rsid w:val="00685F4E"/>
    <w:rsid w:val="0068621E"/>
    <w:rsid w:val="00686A5F"/>
    <w:rsid w:val="00686B6C"/>
    <w:rsid w:val="006877B3"/>
    <w:rsid w:val="00687F22"/>
    <w:rsid w:val="006917A7"/>
    <w:rsid w:val="006918B9"/>
    <w:rsid w:val="0069229B"/>
    <w:rsid w:val="006924E3"/>
    <w:rsid w:val="0069325C"/>
    <w:rsid w:val="006932A2"/>
    <w:rsid w:val="00694208"/>
    <w:rsid w:val="00694246"/>
    <w:rsid w:val="00694655"/>
    <w:rsid w:val="00694ABA"/>
    <w:rsid w:val="00694CE2"/>
    <w:rsid w:val="00694D59"/>
    <w:rsid w:val="00694F69"/>
    <w:rsid w:val="006953B5"/>
    <w:rsid w:val="006963ED"/>
    <w:rsid w:val="00696A09"/>
    <w:rsid w:val="00697591"/>
    <w:rsid w:val="0069765B"/>
    <w:rsid w:val="006A148D"/>
    <w:rsid w:val="006A1E8D"/>
    <w:rsid w:val="006A21CF"/>
    <w:rsid w:val="006A2219"/>
    <w:rsid w:val="006A27C3"/>
    <w:rsid w:val="006A27E7"/>
    <w:rsid w:val="006A3A7F"/>
    <w:rsid w:val="006A43A4"/>
    <w:rsid w:val="006A43AC"/>
    <w:rsid w:val="006A4945"/>
    <w:rsid w:val="006A4AC0"/>
    <w:rsid w:val="006A518A"/>
    <w:rsid w:val="006A5AD7"/>
    <w:rsid w:val="006A75E8"/>
    <w:rsid w:val="006A7D0A"/>
    <w:rsid w:val="006B087A"/>
    <w:rsid w:val="006B0B1D"/>
    <w:rsid w:val="006B0F54"/>
    <w:rsid w:val="006B1375"/>
    <w:rsid w:val="006B1706"/>
    <w:rsid w:val="006B1724"/>
    <w:rsid w:val="006B1BAA"/>
    <w:rsid w:val="006B261E"/>
    <w:rsid w:val="006B2A22"/>
    <w:rsid w:val="006B2AE3"/>
    <w:rsid w:val="006B4458"/>
    <w:rsid w:val="006B4735"/>
    <w:rsid w:val="006B47CE"/>
    <w:rsid w:val="006B5483"/>
    <w:rsid w:val="006B6563"/>
    <w:rsid w:val="006B71D0"/>
    <w:rsid w:val="006B753A"/>
    <w:rsid w:val="006C1070"/>
    <w:rsid w:val="006C10B3"/>
    <w:rsid w:val="006C137E"/>
    <w:rsid w:val="006C1A3A"/>
    <w:rsid w:val="006C26ED"/>
    <w:rsid w:val="006C3D59"/>
    <w:rsid w:val="006C46DE"/>
    <w:rsid w:val="006C4861"/>
    <w:rsid w:val="006C4AEA"/>
    <w:rsid w:val="006C4E9E"/>
    <w:rsid w:val="006C52B4"/>
    <w:rsid w:val="006C5663"/>
    <w:rsid w:val="006C56CF"/>
    <w:rsid w:val="006C5F08"/>
    <w:rsid w:val="006C603A"/>
    <w:rsid w:val="006C654F"/>
    <w:rsid w:val="006C68F7"/>
    <w:rsid w:val="006C6D2E"/>
    <w:rsid w:val="006C6EFE"/>
    <w:rsid w:val="006C72F4"/>
    <w:rsid w:val="006C7476"/>
    <w:rsid w:val="006C749C"/>
    <w:rsid w:val="006C76DA"/>
    <w:rsid w:val="006C7920"/>
    <w:rsid w:val="006C7BC0"/>
    <w:rsid w:val="006D022D"/>
    <w:rsid w:val="006D0602"/>
    <w:rsid w:val="006D095F"/>
    <w:rsid w:val="006D1363"/>
    <w:rsid w:val="006D1969"/>
    <w:rsid w:val="006D233B"/>
    <w:rsid w:val="006D23F3"/>
    <w:rsid w:val="006D267F"/>
    <w:rsid w:val="006D26FE"/>
    <w:rsid w:val="006D2D77"/>
    <w:rsid w:val="006D3193"/>
    <w:rsid w:val="006D32F1"/>
    <w:rsid w:val="006D3408"/>
    <w:rsid w:val="006D39DC"/>
    <w:rsid w:val="006D3C4B"/>
    <w:rsid w:val="006D4396"/>
    <w:rsid w:val="006D4BD2"/>
    <w:rsid w:val="006D4D68"/>
    <w:rsid w:val="006D5135"/>
    <w:rsid w:val="006D5634"/>
    <w:rsid w:val="006D70A6"/>
    <w:rsid w:val="006D72E5"/>
    <w:rsid w:val="006D7552"/>
    <w:rsid w:val="006D78D9"/>
    <w:rsid w:val="006D7BAD"/>
    <w:rsid w:val="006E01A5"/>
    <w:rsid w:val="006E033B"/>
    <w:rsid w:val="006E0586"/>
    <w:rsid w:val="006E078E"/>
    <w:rsid w:val="006E0CB4"/>
    <w:rsid w:val="006E0D4E"/>
    <w:rsid w:val="006E13F2"/>
    <w:rsid w:val="006E19AB"/>
    <w:rsid w:val="006E20E7"/>
    <w:rsid w:val="006E265F"/>
    <w:rsid w:val="006E2D05"/>
    <w:rsid w:val="006E2DC9"/>
    <w:rsid w:val="006E4746"/>
    <w:rsid w:val="006E5669"/>
    <w:rsid w:val="006E5C35"/>
    <w:rsid w:val="006E71B7"/>
    <w:rsid w:val="006E729F"/>
    <w:rsid w:val="006E7DE4"/>
    <w:rsid w:val="006E7FFD"/>
    <w:rsid w:val="006F0254"/>
    <w:rsid w:val="006F1011"/>
    <w:rsid w:val="006F1072"/>
    <w:rsid w:val="006F1D2B"/>
    <w:rsid w:val="006F1FB2"/>
    <w:rsid w:val="006F2303"/>
    <w:rsid w:val="006F2D0A"/>
    <w:rsid w:val="006F2F43"/>
    <w:rsid w:val="006F31E5"/>
    <w:rsid w:val="006F4D74"/>
    <w:rsid w:val="006F5DB7"/>
    <w:rsid w:val="006F6142"/>
    <w:rsid w:val="006F65DD"/>
    <w:rsid w:val="00700063"/>
    <w:rsid w:val="007000DA"/>
    <w:rsid w:val="00701489"/>
    <w:rsid w:val="00701729"/>
    <w:rsid w:val="00702131"/>
    <w:rsid w:val="00702195"/>
    <w:rsid w:val="00702683"/>
    <w:rsid w:val="00702A59"/>
    <w:rsid w:val="007034FB"/>
    <w:rsid w:val="0070350C"/>
    <w:rsid w:val="007035BC"/>
    <w:rsid w:val="00704A89"/>
    <w:rsid w:val="0070501A"/>
    <w:rsid w:val="007053BC"/>
    <w:rsid w:val="00705579"/>
    <w:rsid w:val="0070564D"/>
    <w:rsid w:val="00705779"/>
    <w:rsid w:val="007063F3"/>
    <w:rsid w:val="007075B8"/>
    <w:rsid w:val="00707F6B"/>
    <w:rsid w:val="0071027E"/>
    <w:rsid w:val="007117D4"/>
    <w:rsid w:val="0071187C"/>
    <w:rsid w:val="00712E2E"/>
    <w:rsid w:val="00713156"/>
    <w:rsid w:val="007135E1"/>
    <w:rsid w:val="00714556"/>
    <w:rsid w:val="007145AB"/>
    <w:rsid w:val="00714B6E"/>
    <w:rsid w:val="00715024"/>
    <w:rsid w:val="00715091"/>
    <w:rsid w:val="0071604D"/>
    <w:rsid w:val="007166D3"/>
    <w:rsid w:val="00717BF5"/>
    <w:rsid w:val="00720A32"/>
    <w:rsid w:val="0072196A"/>
    <w:rsid w:val="00721CBC"/>
    <w:rsid w:val="0072281A"/>
    <w:rsid w:val="00722FD4"/>
    <w:rsid w:val="007234DF"/>
    <w:rsid w:val="007244B1"/>
    <w:rsid w:val="00724D2B"/>
    <w:rsid w:val="0072542C"/>
    <w:rsid w:val="00725952"/>
    <w:rsid w:val="00727A73"/>
    <w:rsid w:val="00730A2F"/>
    <w:rsid w:val="0073115F"/>
    <w:rsid w:val="007311DB"/>
    <w:rsid w:val="00731701"/>
    <w:rsid w:val="00731757"/>
    <w:rsid w:val="007325D3"/>
    <w:rsid w:val="00732A4D"/>
    <w:rsid w:val="00732F2D"/>
    <w:rsid w:val="00733659"/>
    <w:rsid w:val="007339AD"/>
    <w:rsid w:val="00734034"/>
    <w:rsid w:val="00734DA3"/>
    <w:rsid w:val="00734EBC"/>
    <w:rsid w:val="00735443"/>
    <w:rsid w:val="00735896"/>
    <w:rsid w:val="00736B7A"/>
    <w:rsid w:val="00736EBB"/>
    <w:rsid w:val="00736F22"/>
    <w:rsid w:val="0073713E"/>
    <w:rsid w:val="00737307"/>
    <w:rsid w:val="0073737E"/>
    <w:rsid w:val="00740417"/>
    <w:rsid w:val="007406AC"/>
    <w:rsid w:val="00740AC2"/>
    <w:rsid w:val="00740F2C"/>
    <w:rsid w:val="00740FDB"/>
    <w:rsid w:val="007413D2"/>
    <w:rsid w:val="00742173"/>
    <w:rsid w:val="00742215"/>
    <w:rsid w:val="0074337E"/>
    <w:rsid w:val="00743797"/>
    <w:rsid w:val="00743B96"/>
    <w:rsid w:val="00744694"/>
    <w:rsid w:val="00744D73"/>
    <w:rsid w:val="00744E14"/>
    <w:rsid w:val="00744ECA"/>
    <w:rsid w:val="0074571A"/>
    <w:rsid w:val="00745975"/>
    <w:rsid w:val="007461B3"/>
    <w:rsid w:val="00746B51"/>
    <w:rsid w:val="007471A7"/>
    <w:rsid w:val="0075063F"/>
    <w:rsid w:val="0075075A"/>
    <w:rsid w:val="007508B5"/>
    <w:rsid w:val="00750E65"/>
    <w:rsid w:val="0075120C"/>
    <w:rsid w:val="00751391"/>
    <w:rsid w:val="007517D3"/>
    <w:rsid w:val="00751D12"/>
    <w:rsid w:val="007520EE"/>
    <w:rsid w:val="007522F4"/>
    <w:rsid w:val="007527D3"/>
    <w:rsid w:val="007532D3"/>
    <w:rsid w:val="00753738"/>
    <w:rsid w:val="0075379E"/>
    <w:rsid w:val="00753BE0"/>
    <w:rsid w:val="0075406D"/>
    <w:rsid w:val="007542A2"/>
    <w:rsid w:val="00754AAB"/>
    <w:rsid w:val="00754AE3"/>
    <w:rsid w:val="00754EA6"/>
    <w:rsid w:val="007551CD"/>
    <w:rsid w:val="00755920"/>
    <w:rsid w:val="00755994"/>
    <w:rsid w:val="00755A8E"/>
    <w:rsid w:val="0075609D"/>
    <w:rsid w:val="00756106"/>
    <w:rsid w:val="00756483"/>
    <w:rsid w:val="007568C1"/>
    <w:rsid w:val="00756B15"/>
    <w:rsid w:val="00756F53"/>
    <w:rsid w:val="007574EE"/>
    <w:rsid w:val="00757F76"/>
    <w:rsid w:val="00757FE1"/>
    <w:rsid w:val="0076058E"/>
    <w:rsid w:val="0076087C"/>
    <w:rsid w:val="00760966"/>
    <w:rsid w:val="00761136"/>
    <w:rsid w:val="007612CE"/>
    <w:rsid w:val="00761407"/>
    <w:rsid w:val="00761E9A"/>
    <w:rsid w:val="00762429"/>
    <w:rsid w:val="007629BB"/>
    <w:rsid w:val="0076325F"/>
    <w:rsid w:val="0076429E"/>
    <w:rsid w:val="0076436D"/>
    <w:rsid w:val="0076440C"/>
    <w:rsid w:val="0076451E"/>
    <w:rsid w:val="0076507E"/>
    <w:rsid w:val="007656CF"/>
    <w:rsid w:val="00765715"/>
    <w:rsid w:val="00765862"/>
    <w:rsid w:val="00765C7F"/>
    <w:rsid w:val="00765E3A"/>
    <w:rsid w:val="007666AA"/>
    <w:rsid w:val="007668D0"/>
    <w:rsid w:val="00766BB0"/>
    <w:rsid w:val="00770D2B"/>
    <w:rsid w:val="007712A2"/>
    <w:rsid w:val="0077134E"/>
    <w:rsid w:val="00771985"/>
    <w:rsid w:val="00772702"/>
    <w:rsid w:val="00774360"/>
    <w:rsid w:val="0077452F"/>
    <w:rsid w:val="0077479D"/>
    <w:rsid w:val="007748CC"/>
    <w:rsid w:val="00775034"/>
    <w:rsid w:val="00775459"/>
    <w:rsid w:val="00775830"/>
    <w:rsid w:val="00775C70"/>
    <w:rsid w:val="0077642A"/>
    <w:rsid w:val="007764B0"/>
    <w:rsid w:val="00776756"/>
    <w:rsid w:val="00776CA1"/>
    <w:rsid w:val="0077720C"/>
    <w:rsid w:val="00777846"/>
    <w:rsid w:val="0078089C"/>
    <w:rsid w:val="00780DAD"/>
    <w:rsid w:val="00780DDA"/>
    <w:rsid w:val="00780F4D"/>
    <w:rsid w:val="00781022"/>
    <w:rsid w:val="00781B2D"/>
    <w:rsid w:val="00781B8A"/>
    <w:rsid w:val="00781CAA"/>
    <w:rsid w:val="0078240F"/>
    <w:rsid w:val="00782FAD"/>
    <w:rsid w:val="0078334A"/>
    <w:rsid w:val="0078395A"/>
    <w:rsid w:val="00784020"/>
    <w:rsid w:val="00784173"/>
    <w:rsid w:val="00784229"/>
    <w:rsid w:val="00784560"/>
    <w:rsid w:val="007845CF"/>
    <w:rsid w:val="00784BD8"/>
    <w:rsid w:val="00785F63"/>
    <w:rsid w:val="00786693"/>
    <w:rsid w:val="007871A1"/>
    <w:rsid w:val="00790835"/>
    <w:rsid w:val="007908F8"/>
    <w:rsid w:val="00790D07"/>
    <w:rsid w:val="007916DE"/>
    <w:rsid w:val="00791FB0"/>
    <w:rsid w:val="00792015"/>
    <w:rsid w:val="0079275A"/>
    <w:rsid w:val="007944C2"/>
    <w:rsid w:val="00794546"/>
    <w:rsid w:val="00795952"/>
    <w:rsid w:val="00795DB8"/>
    <w:rsid w:val="00796CF1"/>
    <w:rsid w:val="007972D0"/>
    <w:rsid w:val="007977CC"/>
    <w:rsid w:val="00797F67"/>
    <w:rsid w:val="007A0BA4"/>
    <w:rsid w:val="007A0BE9"/>
    <w:rsid w:val="007A0EBB"/>
    <w:rsid w:val="007A0ED4"/>
    <w:rsid w:val="007A12CA"/>
    <w:rsid w:val="007A17A0"/>
    <w:rsid w:val="007A2775"/>
    <w:rsid w:val="007A2C33"/>
    <w:rsid w:val="007A2E89"/>
    <w:rsid w:val="007A2EEA"/>
    <w:rsid w:val="007A32CC"/>
    <w:rsid w:val="007A36A6"/>
    <w:rsid w:val="007A3D3A"/>
    <w:rsid w:val="007A3EA8"/>
    <w:rsid w:val="007A457B"/>
    <w:rsid w:val="007A4AE8"/>
    <w:rsid w:val="007A4B4B"/>
    <w:rsid w:val="007A4D57"/>
    <w:rsid w:val="007A5BE5"/>
    <w:rsid w:val="007A5F23"/>
    <w:rsid w:val="007A63EA"/>
    <w:rsid w:val="007B00BC"/>
    <w:rsid w:val="007B0160"/>
    <w:rsid w:val="007B07BF"/>
    <w:rsid w:val="007B1509"/>
    <w:rsid w:val="007B1D10"/>
    <w:rsid w:val="007B23B4"/>
    <w:rsid w:val="007B26E8"/>
    <w:rsid w:val="007B3401"/>
    <w:rsid w:val="007B3E4C"/>
    <w:rsid w:val="007B3F9B"/>
    <w:rsid w:val="007B4637"/>
    <w:rsid w:val="007B47AE"/>
    <w:rsid w:val="007B5573"/>
    <w:rsid w:val="007B5DA3"/>
    <w:rsid w:val="007B5EA1"/>
    <w:rsid w:val="007B5F3F"/>
    <w:rsid w:val="007B6BF6"/>
    <w:rsid w:val="007B6C8C"/>
    <w:rsid w:val="007B76F5"/>
    <w:rsid w:val="007C0A1E"/>
    <w:rsid w:val="007C0D7D"/>
    <w:rsid w:val="007C1181"/>
    <w:rsid w:val="007C11B7"/>
    <w:rsid w:val="007C1AC2"/>
    <w:rsid w:val="007C209A"/>
    <w:rsid w:val="007C257E"/>
    <w:rsid w:val="007C351A"/>
    <w:rsid w:val="007C3808"/>
    <w:rsid w:val="007C3D57"/>
    <w:rsid w:val="007C3E6F"/>
    <w:rsid w:val="007C403C"/>
    <w:rsid w:val="007C45C9"/>
    <w:rsid w:val="007C54E4"/>
    <w:rsid w:val="007C550F"/>
    <w:rsid w:val="007C66C4"/>
    <w:rsid w:val="007D0ED5"/>
    <w:rsid w:val="007D1AEC"/>
    <w:rsid w:val="007D23F4"/>
    <w:rsid w:val="007D2921"/>
    <w:rsid w:val="007D2C3B"/>
    <w:rsid w:val="007D2D27"/>
    <w:rsid w:val="007D32EE"/>
    <w:rsid w:val="007D33B6"/>
    <w:rsid w:val="007D3743"/>
    <w:rsid w:val="007D3ADD"/>
    <w:rsid w:val="007D3D17"/>
    <w:rsid w:val="007D4091"/>
    <w:rsid w:val="007D5BF6"/>
    <w:rsid w:val="007D67AA"/>
    <w:rsid w:val="007D7CFE"/>
    <w:rsid w:val="007E076E"/>
    <w:rsid w:val="007E0C23"/>
    <w:rsid w:val="007E103D"/>
    <w:rsid w:val="007E16E5"/>
    <w:rsid w:val="007E1A35"/>
    <w:rsid w:val="007E245C"/>
    <w:rsid w:val="007E2821"/>
    <w:rsid w:val="007E31CF"/>
    <w:rsid w:val="007E34BA"/>
    <w:rsid w:val="007E3991"/>
    <w:rsid w:val="007E3AE8"/>
    <w:rsid w:val="007E4CEA"/>
    <w:rsid w:val="007E5372"/>
    <w:rsid w:val="007E65A5"/>
    <w:rsid w:val="007F04AC"/>
    <w:rsid w:val="007F0DEC"/>
    <w:rsid w:val="007F11D3"/>
    <w:rsid w:val="007F3682"/>
    <w:rsid w:val="007F3F78"/>
    <w:rsid w:val="007F422A"/>
    <w:rsid w:val="007F44DD"/>
    <w:rsid w:val="007F5D13"/>
    <w:rsid w:val="007F6408"/>
    <w:rsid w:val="007F667F"/>
    <w:rsid w:val="007F734B"/>
    <w:rsid w:val="007F73E3"/>
    <w:rsid w:val="007F7F3D"/>
    <w:rsid w:val="0080073B"/>
    <w:rsid w:val="00800910"/>
    <w:rsid w:val="00800CCF"/>
    <w:rsid w:val="00801190"/>
    <w:rsid w:val="00801575"/>
    <w:rsid w:val="00801BAE"/>
    <w:rsid w:val="00801C42"/>
    <w:rsid w:val="0080205B"/>
    <w:rsid w:val="00802564"/>
    <w:rsid w:val="008025C1"/>
    <w:rsid w:val="008034C8"/>
    <w:rsid w:val="00803701"/>
    <w:rsid w:val="00803BF1"/>
    <w:rsid w:val="008047D3"/>
    <w:rsid w:val="00804D8F"/>
    <w:rsid w:val="00804FAA"/>
    <w:rsid w:val="008051B1"/>
    <w:rsid w:val="0080553C"/>
    <w:rsid w:val="00805719"/>
    <w:rsid w:val="00805A1D"/>
    <w:rsid w:val="008060B6"/>
    <w:rsid w:val="008064C7"/>
    <w:rsid w:val="00806691"/>
    <w:rsid w:val="00806DCF"/>
    <w:rsid w:val="008072C0"/>
    <w:rsid w:val="008079E2"/>
    <w:rsid w:val="00807C2B"/>
    <w:rsid w:val="00810935"/>
    <w:rsid w:val="00810D89"/>
    <w:rsid w:val="008113E7"/>
    <w:rsid w:val="00811922"/>
    <w:rsid w:val="008120FF"/>
    <w:rsid w:val="008129DC"/>
    <w:rsid w:val="00813478"/>
    <w:rsid w:val="00813762"/>
    <w:rsid w:val="00813915"/>
    <w:rsid w:val="00813AAD"/>
    <w:rsid w:val="00814BAB"/>
    <w:rsid w:val="0081516A"/>
    <w:rsid w:val="00815481"/>
    <w:rsid w:val="0081589F"/>
    <w:rsid w:val="0081590A"/>
    <w:rsid w:val="00815938"/>
    <w:rsid w:val="00815C9D"/>
    <w:rsid w:val="00816199"/>
    <w:rsid w:val="00816787"/>
    <w:rsid w:val="00816B01"/>
    <w:rsid w:val="008173C7"/>
    <w:rsid w:val="008176B8"/>
    <w:rsid w:val="00817945"/>
    <w:rsid w:val="00817D4B"/>
    <w:rsid w:val="008208A8"/>
    <w:rsid w:val="00820F6B"/>
    <w:rsid w:val="00821404"/>
    <w:rsid w:val="0082232E"/>
    <w:rsid w:val="008226C1"/>
    <w:rsid w:val="008240C1"/>
    <w:rsid w:val="0082428C"/>
    <w:rsid w:val="00824860"/>
    <w:rsid w:val="00824CDF"/>
    <w:rsid w:val="00824E45"/>
    <w:rsid w:val="00824F3F"/>
    <w:rsid w:val="008252FF"/>
    <w:rsid w:val="008253F0"/>
    <w:rsid w:val="008257D5"/>
    <w:rsid w:val="00825804"/>
    <w:rsid w:val="008259A5"/>
    <w:rsid w:val="00826251"/>
    <w:rsid w:val="00826F86"/>
    <w:rsid w:val="00830B15"/>
    <w:rsid w:val="00831F2D"/>
    <w:rsid w:val="008320E4"/>
    <w:rsid w:val="008324E2"/>
    <w:rsid w:val="008327EE"/>
    <w:rsid w:val="00832969"/>
    <w:rsid w:val="008329E7"/>
    <w:rsid w:val="00832AB2"/>
    <w:rsid w:val="0083356C"/>
    <w:rsid w:val="00833B8E"/>
    <w:rsid w:val="00833F18"/>
    <w:rsid w:val="0083425D"/>
    <w:rsid w:val="008342A8"/>
    <w:rsid w:val="00834A7A"/>
    <w:rsid w:val="00834CFD"/>
    <w:rsid w:val="00835377"/>
    <w:rsid w:val="00835730"/>
    <w:rsid w:val="00835E46"/>
    <w:rsid w:val="0083602D"/>
    <w:rsid w:val="0083653A"/>
    <w:rsid w:val="0083682F"/>
    <w:rsid w:val="00837166"/>
    <w:rsid w:val="00837335"/>
    <w:rsid w:val="008406A5"/>
    <w:rsid w:val="00841140"/>
    <w:rsid w:val="008412DA"/>
    <w:rsid w:val="00841682"/>
    <w:rsid w:val="00842281"/>
    <w:rsid w:val="008423E2"/>
    <w:rsid w:val="00842880"/>
    <w:rsid w:val="0084352B"/>
    <w:rsid w:val="008453DC"/>
    <w:rsid w:val="0084580E"/>
    <w:rsid w:val="00846098"/>
    <w:rsid w:val="00846440"/>
    <w:rsid w:val="00847262"/>
    <w:rsid w:val="00847CD3"/>
    <w:rsid w:val="00850AB1"/>
    <w:rsid w:val="00850F01"/>
    <w:rsid w:val="00851057"/>
    <w:rsid w:val="00851480"/>
    <w:rsid w:val="0085174B"/>
    <w:rsid w:val="00851947"/>
    <w:rsid w:val="00851B07"/>
    <w:rsid w:val="00851B32"/>
    <w:rsid w:val="00851CCA"/>
    <w:rsid w:val="008526DF"/>
    <w:rsid w:val="00852C92"/>
    <w:rsid w:val="00853EDB"/>
    <w:rsid w:val="00853EFA"/>
    <w:rsid w:val="008546DA"/>
    <w:rsid w:val="008554F1"/>
    <w:rsid w:val="008556BA"/>
    <w:rsid w:val="00856649"/>
    <w:rsid w:val="00856675"/>
    <w:rsid w:val="008566F4"/>
    <w:rsid w:val="00857825"/>
    <w:rsid w:val="0085784D"/>
    <w:rsid w:val="008578BE"/>
    <w:rsid w:val="00857C3E"/>
    <w:rsid w:val="008602B1"/>
    <w:rsid w:val="00860603"/>
    <w:rsid w:val="008612BD"/>
    <w:rsid w:val="008612D3"/>
    <w:rsid w:val="00861C2E"/>
    <w:rsid w:val="00861D63"/>
    <w:rsid w:val="00861FE2"/>
    <w:rsid w:val="00862B96"/>
    <w:rsid w:val="00862CE1"/>
    <w:rsid w:val="008642B1"/>
    <w:rsid w:val="00864458"/>
    <w:rsid w:val="008647DF"/>
    <w:rsid w:val="00864D25"/>
    <w:rsid w:val="0086554B"/>
    <w:rsid w:val="00865A2B"/>
    <w:rsid w:val="00865BC7"/>
    <w:rsid w:val="0086609F"/>
    <w:rsid w:val="00866786"/>
    <w:rsid w:val="00867444"/>
    <w:rsid w:val="008677F3"/>
    <w:rsid w:val="00870DD0"/>
    <w:rsid w:val="0087192A"/>
    <w:rsid w:val="00872632"/>
    <w:rsid w:val="00872909"/>
    <w:rsid w:val="00872B7D"/>
    <w:rsid w:val="00872DD0"/>
    <w:rsid w:val="00873679"/>
    <w:rsid w:val="00873AD5"/>
    <w:rsid w:val="008742A4"/>
    <w:rsid w:val="008749E3"/>
    <w:rsid w:val="008758D4"/>
    <w:rsid w:val="00875D11"/>
    <w:rsid w:val="008763ED"/>
    <w:rsid w:val="0087692E"/>
    <w:rsid w:val="00876B11"/>
    <w:rsid w:val="008775D7"/>
    <w:rsid w:val="00877E72"/>
    <w:rsid w:val="00880481"/>
    <w:rsid w:val="008809CF"/>
    <w:rsid w:val="00880D1D"/>
    <w:rsid w:val="00881002"/>
    <w:rsid w:val="0088102C"/>
    <w:rsid w:val="0088104B"/>
    <w:rsid w:val="00881867"/>
    <w:rsid w:val="008825EF"/>
    <w:rsid w:val="00882E3D"/>
    <w:rsid w:val="00883788"/>
    <w:rsid w:val="00884C0B"/>
    <w:rsid w:val="008855D6"/>
    <w:rsid w:val="00885608"/>
    <w:rsid w:val="0088597C"/>
    <w:rsid w:val="00885D6F"/>
    <w:rsid w:val="00886532"/>
    <w:rsid w:val="00886DA5"/>
    <w:rsid w:val="00886F28"/>
    <w:rsid w:val="008872E5"/>
    <w:rsid w:val="00887430"/>
    <w:rsid w:val="00887508"/>
    <w:rsid w:val="008877D8"/>
    <w:rsid w:val="008878BC"/>
    <w:rsid w:val="008879D1"/>
    <w:rsid w:val="00887DB7"/>
    <w:rsid w:val="00890ACC"/>
    <w:rsid w:val="00890C21"/>
    <w:rsid w:val="00890FB2"/>
    <w:rsid w:val="00891133"/>
    <w:rsid w:val="008913D6"/>
    <w:rsid w:val="008942BE"/>
    <w:rsid w:val="008947ED"/>
    <w:rsid w:val="00894E7E"/>
    <w:rsid w:val="00894FAC"/>
    <w:rsid w:val="008951B9"/>
    <w:rsid w:val="00895927"/>
    <w:rsid w:val="00895954"/>
    <w:rsid w:val="00895CFA"/>
    <w:rsid w:val="00896586"/>
    <w:rsid w:val="00896B58"/>
    <w:rsid w:val="008973CF"/>
    <w:rsid w:val="008A05AE"/>
    <w:rsid w:val="008A0883"/>
    <w:rsid w:val="008A1A61"/>
    <w:rsid w:val="008A1B1C"/>
    <w:rsid w:val="008A23BB"/>
    <w:rsid w:val="008A3086"/>
    <w:rsid w:val="008A3914"/>
    <w:rsid w:val="008A4120"/>
    <w:rsid w:val="008A5232"/>
    <w:rsid w:val="008A58A7"/>
    <w:rsid w:val="008A5D87"/>
    <w:rsid w:val="008A6DFA"/>
    <w:rsid w:val="008A6EB0"/>
    <w:rsid w:val="008A7286"/>
    <w:rsid w:val="008A78C9"/>
    <w:rsid w:val="008A7D59"/>
    <w:rsid w:val="008B0092"/>
    <w:rsid w:val="008B051F"/>
    <w:rsid w:val="008B1036"/>
    <w:rsid w:val="008B111A"/>
    <w:rsid w:val="008B13CA"/>
    <w:rsid w:val="008B19C9"/>
    <w:rsid w:val="008B20A1"/>
    <w:rsid w:val="008B28DA"/>
    <w:rsid w:val="008B3804"/>
    <w:rsid w:val="008B3E69"/>
    <w:rsid w:val="008B4137"/>
    <w:rsid w:val="008B4766"/>
    <w:rsid w:val="008B4929"/>
    <w:rsid w:val="008B4AA0"/>
    <w:rsid w:val="008B4AF7"/>
    <w:rsid w:val="008B53C0"/>
    <w:rsid w:val="008B56ED"/>
    <w:rsid w:val="008B5942"/>
    <w:rsid w:val="008B5AF5"/>
    <w:rsid w:val="008B5DA1"/>
    <w:rsid w:val="008B6B0F"/>
    <w:rsid w:val="008B714E"/>
    <w:rsid w:val="008B7D0B"/>
    <w:rsid w:val="008C0EF8"/>
    <w:rsid w:val="008C127A"/>
    <w:rsid w:val="008C167B"/>
    <w:rsid w:val="008C1D89"/>
    <w:rsid w:val="008C2143"/>
    <w:rsid w:val="008C2462"/>
    <w:rsid w:val="008C2483"/>
    <w:rsid w:val="008C26E3"/>
    <w:rsid w:val="008C3D20"/>
    <w:rsid w:val="008C4708"/>
    <w:rsid w:val="008C4717"/>
    <w:rsid w:val="008C47BA"/>
    <w:rsid w:val="008C5207"/>
    <w:rsid w:val="008C5602"/>
    <w:rsid w:val="008C5B25"/>
    <w:rsid w:val="008C5DD9"/>
    <w:rsid w:val="008C5ED1"/>
    <w:rsid w:val="008C6499"/>
    <w:rsid w:val="008C6C66"/>
    <w:rsid w:val="008C6CA9"/>
    <w:rsid w:val="008C6D60"/>
    <w:rsid w:val="008C781F"/>
    <w:rsid w:val="008C7834"/>
    <w:rsid w:val="008C7E66"/>
    <w:rsid w:val="008C7FB8"/>
    <w:rsid w:val="008D0A3E"/>
    <w:rsid w:val="008D0AF2"/>
    <w:rsid w:val="008D0BFF"/>
    <w:rsid w:val="008D0D5F"/>
    <w:rsid w:val="008D11C5"/>
    <w:rsid w:val="008D35EC"/>
    <w:rsid w:val="008D3811"/>
    <w:rsid w:val="008D3BAB"/>
    <w:rsid w:val="008D3BB8"/>
    <w:rsid w:val="008D45D4"/>
    <w:rsid w:val="008D5288"/>
    <w:rsid w:val="008D562C"/>
    <w:rsid w:val="008D5E56"/>
    <w:rsid w:val="008D616C"/>
    <w:rsid w:val="008D6488"/>
    <w:rsid w:val="008D6B16"/>
    <w:rsid w:val="008D7145"/>
    <w:rsid w:val="008D747C"/>
    <w:rsid w:val="008E0014"/>
    <w:rsid w:val="008E11CE"/>
    <w:rsid w:val="008E1257"/>
    <w:rsid w:val="008E16B5"/>
    <w:rsid w:val="008E196E"/>
    <w:rsid w:val="008E1A54"/>
    <w:rsid w:val="008E1AB7"/>
    <w:rsid w:val="008E1CE2"/>
    <w:rsid w:val="008E2E0C"/>
    <w:rsid w:val="008E330F"/>
    <w:rsid w:val="008E37AA"/>
    <w:rsid w:val="008E3F2C"/>
    <w:rsid w:val="008E421C"/>
    <w:rsid w:val="008E452D"/>
    <w:rsid w:val="008E4A37"/>
    <w:rsid w:val="008E50C6"/>
    <w:rsid w:val="008E5698"/>
    <w:rsid w:val="008E59D0"/>
    <w:rsid w:val="008E5B23"/>
    <w:rsid w:val="008E5F3B"/>
    <w:rsid w:val="008E66AE"/>
    <w:rsid w:val="008E7157"/>
    <w:rsid w:val="008E7B16"/>
    <w:rsid w:val="008E7EA1"/>
    <w:rsid w:val="008F0166"/>
    <w:rsid w:val="008F01D5"/>
    <w:rsid w:val="008F1064"/>
    <w:rsid w:val="008F2776"/>
    <w:rsid w:val="008F2896"/>
    <w:rsid w:val="008F2F11"/>
    <w:rsid w:val="008F3B8E"/>
    <w:rsid w:val="008F3E7E"/>
    <w:rsid w:val="008F4694"/>
    <w:rsid w:val="008F4936"/>
    <w:rsid w:val="008F4942"/>
    <w:rsid w:val="008F4EA6"/>
    <w:rsid w:val="008F5083"/>
    <w:rsid w:val="008F5297"/>
    <w:rsid w:val="008F5AEC"/>
    <w:rsid w:val="008F609F"/>
    <w:rsid w:val="008F6D40"/>
    <w:rsid w:val="008F7340"/>
    <w:rsid w:val="008F783C"/>
    <w:rsid w:val="008F7CA6"/>
    <w:rsid w:val="008F7DD6"/>
    <w:rsid w:val="00900039"/>
    <w:rsid w:val="009002D0"/>
    <w:rsid w:val="009006D2"/>
    <w:rsid w:val="00900D9B"/>
    <w:rsid w:val="00901CEA"/>
    <w:rsid w:val="0090296C"/>
    <w:rsid w:val="00902DD6"/>
    <w:rsid w:val="00903A53"/>
    <w:rsid w:val="00904306"/>
    <w:rsid w:val="00905E80"/>
    <w:rsid w:val="0090699D"/>
    <w:rsid w:val="00906C5B"/>
    <w:rsid w:val="0090707B"/>
    <w:rsid w:val="0090721D"/>
    <w:rsid w:val="009072CC"/>
    <w:rsid w:val="0090771F"/>
    <w:rsid w:val="009079DB"/>
    <w:rsid w:val="00907CB8"/>
    <w:rsid w:val="009104BD"/>
    <w:rsid w:val="009108E3"/>
    <w:rsid w:val="00910AB5"/>
    <w:rsid w:val="00911A5E"/>
    <w:rsid w:val="00911C96"/>
    <w:rsid w:val="00911D19"/>
    <w:rsid w:val="00912028"/>
    <w:rsid w:val="00912D63"/>
    <w:rsid w:val="00913202"/>
    <w:rsid w:val="009132A9"/>
    <w:rsid w:val="009139DE"/>
    <w:rsid w:val="00913BB9"/>
    <w:rsid w:val="00913C8E"/>
    <w:rsid w:val="00914867"/>
    <w:rsid w:val="00914CCC"/>
    <w:rsid w:val="00914F8A"/>
    <w:rsid w:val="0091511C"/>
    <w:rsid w:val="00916FB2"/>
    <w:rsid w:val="00917346"/>
    <w:rsid w:val="00917571"/>
    <w:rsid w:val="00917674"/>
    <w:rsid w:val="00917D7F"/>
    <w:rsid w:val="00920366"/>
    <w:rsid w:val="00920467"/>
    <w:rsid w:val="00920566"/>
    <w:rsid w:val="009210C2"/>
    <w:rsid w:val="009216FE"/>
    <w:rsid w:val="00921A02"/>
    <w:rsid w:val="00923250"/>
    <w:rsid w:val="00923861"/>
    <w:rsid w:val="00924150"/>
    <w:rsid w:val="00924608"/>
    <w:rsid w:val="009251FD"/>
    <w:rsid w:val="00926A04"/>
    <w:rsid w:val="00926D6E"/>
    <w:rsid w:val="009270E1"/>
    <w:rsid w:val="009272BC"/>
    <w:rsid w:val="0092775A"/>
    <w:rsid w:val="00930443"/>
    <w:rsid w:val="00930BB0"/>
    <w:rsid w:val="00930EB9"/>
    <w:rsid w:val="00931022"/>
    <w:rsid w:val="00931625"/>
    <w:rsid w:val="00931AFF"/>
    <w:rsid w:val="00931E7C"/>
    <w:rsid w:val="0093299E"/>
    <w:rsid w:val="00932ECD"/>
    <w:rsid w:val="00933036"/>
    <w:rsid w:val="00933DEF"/>
    <w:rsid w:val="0093404B"/>
    <w:rsid w:val="009355FE"/>
    <w:rsid w:val="009361D7"/>
    <w:rsid w:val="009366C1"/>
    <w:rsid w:val="0093672C"/>
    <w:rsid w:val="009374E3"/>
    <w:rsid w:val="00937AA1"/>
    <w:rsid w:val="00940725"/>
    <w:rsid w:val="00941C44"/>
    <w:rsid w:val="00941E61"/>
    <w:rsid w:val="00942DD6"/>
    <w:rsid w:val="009433BF"/>
    <w:rsid w:val="00943450"/>
    <w:rsid w:val="00943BB8"/>
    <w:rsid w:val="00943F4C"/>
    <w:rsid w:val="009447DC"/>
    <w:rsid w:val="00945F2D"/>
    <w:rsid w:val="00946003"/>
    <w:rsid w:val="00946A2D"/>
    <w:rsid w:val="00946C42"/>
    <w:rsid w:val="00947843"/>
    <w:rsid w:val="0095164B"/>
    <w:rsid w:val="00951848"/>
    <w:rsid w:val="00951ABA"/>
    <w:rsid w:val="00951B4A"/>
    <w:rsid w:val="0095208E"/>
    <w:rsid w:val="009532FF"/>
    <w:rsid w:val="00953828"/>
    <w:rsid w:val="00957152"/>
    <w:rsid w:val="00957AF4"/>
    <w:rsid w:val="00957C88"/>
    <w:rsid w:val="009606A5"/>
    <w:rsid w:val="00960713"/>
    <w:rsid w:val="009609E1"/>
    <w:rsid w:val="00960AD4"/>
    <w:rsid w:val="00960D47"/>
    <w:rsid w:val="00960DC0"/>
    <w:rsid w:val="00962A18"/>
    <w:rsid w:val="00964253"/>
    <w:rsid w:val="009642D7"/>
    <w:rsid w:val="00964439"/>
    <w:rsid w:val="00964E66"/>
    <w:rsid w:val="009652F1"/>
    <w:rsid w:val="0096569C"/>
    <w:rsid w:val="0096596A"/>
    <w:rsid w:val="00965974"/>
    <w:rsid w:val="00965CD6"/>
    <w:rsid w:val="009661A5"/>
    <w:rsid w:val="00966D80"/>
    <w:rsid w:val="00967ADD"/>
    <w:rsid w:val="00967FC9"/>
    <w:rsid w:val="00970113"/>
    <w:rsid w:val="00970132"/>
    <w:rsid w:val="00970455"/>
    <w:rsid w:val="009712A0"/>
    <w:rsid w:val="00971B07"/>
    <w:rsid w:val="00972B9B"/>
    <w:rsid w:val="00972D82"/>
    <w:rsid w:val="00973103"/>
    <w:rsid w:val="00973551"/>
    <w:rsid w:val="009736B8"/>
    <w:rsid w:val="00973893"/>
    <w:rsid w:val="00973B6B"/>
    <w:rsid w:val="00973EC7"/>
    <w:rsid w:val="00974B95"/>
    <w:rsid w:val="00975327"/>
    <w:rsid w:val="009753D9"/>
    <w:rsid w:val="009753DE"/>
    <w:rsid w:val="00975B3C"/>
    <w:rsid w:val="00975C00"/>
    <w:rsid w:val="009764FC"/>
    <w:rsid w:val="009766B8"/>
    <w:rsid w:val="0097681B"/>
    <w:rsid w:val="00976C0F"/>
    <w:rsid w:val="00977320"/>
    <w:rsid w:val="0097752B"/>
    <w:rsid w:val="00977740"/>
    <w:rsid w:val="00977ABE"/>
    <w:rsid w:val="009806D9"/>
    <w:rsid w:val="009807C5"/>
    <w:rsid w:val="00980B5C"/>
    <w:rsid w:val="00980F83"/>
    <w:rsid w:val="00982938"/>
    <w:rsid w:val="00982953"/>
    <w:rsid w:val="00982996"/>
    <w:rsid w:val="0098327C"/>
    <w:rsid w:val="00983369"/>
    <w:rsid w:val="009834BE"/>
    <w:rsid w:val="009837CB"/>
    <w:rsid w:val="00983B51"/>
    <w:rsid w:val="009843A5"/>
    <w:rsid w:val="009843CD"/>
    <w:rsid w:val="00984869"/>
    <w:rsid w:val="00985875"/>
    <w:rsid w:val="00985933"/>
    <w:rsid w:val="00985AB9"/>
    <w:rsid w:val="00985BF3"/>
    <w:rsid w:val="00986139"/>
    <w:rsid w:val="00986415"/>
    <w:rsid w:val="009864D6"/>
    <w:rsid w:val="0098659E"/>
    <w:rsid w:val="00986BCA"/>
    <w:rsid w:val="00986EA7"/>
    <w:rsid w:val="00986FB1"/>
    <w:rsid w:val="00987186"/>
    <w:rsid w:val="00987760"/>
    <w:rsid w:val="009879BB"/>
    <w:rsid w:val="009900F5"/>
    <w:rsid w:val="0099029F"/>
    <w:rsid w:val="00990502"/>
    <w:rsid w:val="00990564"/>
    <w:rsid w:val="009905F9"/>
    <w:rsid w:val="00990E1E"/>
    <w:rsid w:val="00991127"/>
    <w:rsid w:val="0099147A"/>
    <w:rsid w:val="00991D02"/>
    <w:rsid w:val="00991E3E"/>
    <w:rsid w:val="00991FE4"/>
    <w:rsid w:val="0099238A"/>
    <w:rsid w:val="00992A07"/>
    <w:rsid w:val="00992EB0"/>
    <w:rsid w:val="009932DB"/>
    <w:rsid w:val="00993301"/>
    <w:rsid w:val="009933A6"/>
    <w:rsid w:val="0099360D"/>
    <w:rsid w:val="00993650"/>
    <w:rsid w:val="00993FD0"/>
    <w:rsid w:val="00994C04"/>
    <w:rsid w:val="009950CE"/>
    <w:rsid w:val="009951F8"/>
    <w:rsid w:val="00995FBB"/>
    <w:rsid w:val="009968C8"/>
    <w:rsid w:val="009A082C"/>
    <w:rsid w:val="009A1572"/>
    <w:rsid w:val="009A19F3"/>
    <w:rsid w:val="009A2643"/>
    <w:rsid w:val="009A38CA"/>
    <w:rsid w:val="009A3CAA"/>
    <w:rsid w:val="009A461E"/>
    <w:rsid w:val="009A48EB"/>
    <w:rsid w:val="009A5E2C"/>
    <w:rsid w:val="009A7084"/>
    <w:rsid w:val="009A7107"/>
    <w:rsid w:val="009B115C"/>
    <w:rsid w:val="009B24D4"/>
    <w:rsid w:val="009B3EE2"/>
    <w:rsid w:val="009B3F86"/>
    <w:rsid w:val="009B50A7"/>
    <w:rsid w:val="009B56F0"/>
    <w:rsid w:val="009B5AF7"/>
    <w:rsid w:val="009B5C05"/>
    <w:rsid w:val="009B5E67"/>
    <w:rsid w:val="009B6819"/>
    <w:rsid w:val="009B6E10"/>
    <w:rsid w:val="009B772D"/>
    <w:rsid w:val="009B79D0"/>
    <w:rsid w:val="009B7FF5"/>
    <w:rsid w:val="009C019A"/>
    <w:rsid w:val="009C05AD"/>
    <w:rsid w:val="009C1175"/>
    <w:rsid w:val="009C156F"/>
    <w:rsid w:val="009C170F"/>
    <w:rsid w:val="009C2193"/>
    <w:rsid w:val="009C22BB"/>
    <w:rsid w:val="009C2F8A"/>
    <w:rsid w:val="009C2FA1"/>
    <w:rsid w:val="009C30ED"/>
    <w:rsid w:val="009C3519"/>
    <w:rsid w:val="009C3D10"/>
    <w:rsid w:val="009C4082"/>
    <w:rsid w:val="009C47ED"/>
    <w:rsid w:val="009C4FF1"/>
    <w:rsid w:val="009C501C"/>
    <w:rsid w:val="009C53DB"/>
    <w:rsid w:val="009C5996"/>
    <w:rsid w:val="009C68FD"/>
    <w:rsid w:val="009C6B5A"/>
    <w:rsid w:val="009C6EFA"/>
    <w:rsid w:val="009D00FA"/>
    <w:rsid w:val="009D0B16"/>
    <w:rsid w:val="009D0F4E"/>
    <w:rsid w:val="009D23F6"/>
    <w:rsid w:val="009D3B21"/>
    <w:rsid w:val="009D3DC4"/>
    <w:rsid w:val="009D4059"/>
    <w:rsid w:val="009D4243"/>
    <w:rsid w:val="009D4D26"/>
    <w:rsid w:val="009D6CFA"/>
    <w:rsid w:val="009D70AD"/>
    <w:rsid w:val="009D72E4"/>
    <w:rsid w:val="009E003F"/>
    <w:rsid w:val="009E05FE"/>
    <w:rsid w:val="009E08CD"/>
    <w:rsid w:val="009E1AE7"/>
    <w:rsid w:val="009E22D0"/>
    <w:rsid w:val="009E2ABE"/>
    <w:rsid w:val="009E42F6"/>
    <w:rsid w:val="009E4B16"/>
    <w:rsid w:val="009E4B81"/>
    <w:rsid w:val="009E4ED0"/>
    <w:rsid w:val="009E4F11"/>
    <w:rsid w:val="009E541B"/>
    <w:rsid w:val="009E61CD"/>
    <w:rsid w:val="009E6928"/>
    <w:rsid w:val="009E6B9C"/>
    <w:rsid w:val="009E6EB0"/>
    <w:rsid w:val="009E7279"/>
    <w:rsid w:val="009E7615"/>
    <w:rsid w:val="009F077F"/>
    <w:rsid w:val="009F0ABC"/>
    <w:rsid w:val="009F0D7F"/>
    <w:rsid w:val="009F0D8B"/>
    <w:rsid w:val="009F1182"/>
    <w:rsid w:val="009F1D6B"/>
    <w:rsid w:val="009F1D71"/>
    <w:rsid w:val="009F1FBB"/>
    <w:rsid w:val="009F24A6"/>
    <w:rsid w:val="009F4F6F"/>
    <w:rsid w:val="009F506E"/>
    <w:rsid w:val="009F6032"/>
    <w:rsid w:val="009F6648"/>
    <w:rsid w:val="009F6C6E"/>
    <w:rsid w:val="009F744D"/>
    <w:rsid w:val="009F7AA6"/>
    <w:rsid w:val="009F7C3F"/>
    <w:rsid w:val="00A027E8"/>
    <w:rsid w:val="00A05A0C"/>
    <w:rsid w:val="00A05BE7"/>
    <w:rsid w:val="00A05E4F"/>
    <w:rsid w:val="00A060AC"/>
    <w:rsid w:val="00A06469"/>
    <w:rsid w:val="00A06E8F"/>
    <w:rsid w:val="00A070BA"/>
    <w:rsid w:val="00A0746D"/>
    <w:rsid w:val="00A07E2B"/>
    <w:rsid w:val="00A111D9"/>
    <w:rsid w:val="00A11A32"/>
    <w:rsid w:val="00A11A76"/>
    <w:rsid w:val="00A11A90"/>
    <w:rsid w:val="00A123A0"/>
    <w:rsid w:val="00A125E9"/>
    <w:rsid w:val="00A12987"/>
    <w:rsid w:val="00A12ABF"/>
    <w:rsid w:val="00A12D3C"/>
    <w:rsid w:val="00A1445E"/>
    <w:rsid w:val="00A14FBD"/>
    <w:rsid w:val="00A1522C"/>
    <w:rsid w:val="00A159C1"/>
    <w:rsid w:val="00A166F1"/>
    <w:rsid w:val="00A1690F"/>
    <w:rsid w:val="00A16C06"/>
    <w:rsid w:val="00A16F7F"/>
    <w:rsid w:val="00A1727D"/>
    <w:rsid w:val="00A174F2"/>
    <w:rsid w:val="00A17BB2"/>
    <w:rsid w:val="00A20673"/>
    <w:rsid w:val="00A20C6D"/>
    <w:rsid w:val="00A210D0"/>
    <w:rsid w:val="00A216B1"/>
    <w:rsid w:val="00A22267"/>
    <w:rsid w:val="00A22A98"/>
    <w:rsid w:val="00A2302A"/>
    <w:rsid w:val="00A2379C"/>
    <w:rsid w:val="00A23B15"/>
    <w:rsid w:val="00A24EB3"/>
    <w:rsid w:val="00A25AD5"/>
    <w:rsid w:val="00A25EDB"/>
    <w:rsid w:val="00A26101"/>
    <w:rsid w:val="00A261A3"/>
    <w:rsid w:val="00A26B6A"/>
    <w:rsid w:val="00A2735A"/>
    <w:rsid w:val="00A27BE8"/>
    <w:rsid w:val="00A27E28"/>
    <w:rsid w:val="00A30655"/>
    <w:rsid w:val="00A3187D"/>
    <w:rsid w:val="00A31E31"/>
    <w:rsid w:val="00A3231D"/>
    <w:rsid w:val="00A327CA"/>
    <w:rsid w:val="00A32AF2"/>
    <w:rsid w:val="00A32ED3"/>
    <w:rsid w:val="00A33080"/>
    <w:rsid w:val="00A342B5"/>
    <w:rsid w:val="00A34F1B"/>
    <w:rsid w:val="00A35549"/>
    <w:rsid w:val="00A3563D"/>
    <w:rsid w:val="00A360E0"/>
    <w:rsid w:val="00A37221"/>
    <w:rsid w:val="00A37225"/>
    <w:rsid w:val="00A37351"/>
    <w:rsid w:val="00A374BC"/>
    <w:rsid w:val="00A3775A"/>
    <w:rsid w:val="00A3777C"/>
    <w:rsid w:val="00A40861"/>
    <w:rsid w:val="00A4092F"/>
    <w:rsid w:val="00A40E5E"/>
    <w:rsid w:val="00A4127B"/>
    <w:rsid w:val="00A415EC"/>
    <w:rsid w:val="00A41FF9"/>
    <w:rsid w:val="00A42D74"/>
    <w:rsid w:val="00A42ECF"/>
    <w:rsid w:val="00A430B5"/>
    <w:rsid w:val="00A43D3B"/>
    <w:rsid w:val="00A43F5D"/>
    <w:rsid w:val="00A4665C"/>
    <w:rsid w:val="00A46723"/>
    <w:rsid w:val="00A4676E"/>
    <w:rsid w:val="00A46CC1"/>
    <w:rsid w:val="00A46E07"/>
    <w:rsid w:val="00A46E1A"/>
    <w:rsid w:val="00A46F57"/>
    <w:rsid w:val="00A47EB3"/>
    <w:rsid w:val="00A502BA"/>
    <w:rsid w:val="00A50408"/>
    <w:rsid w:val="00A50497"/>
    <w:rsid w:val="00A5064E"/>
    <w:rsid w:val="00A5071D"/>
    <w:rsid w:val="00A513BE"/>
    <w:rsid w:val="00A52DE9"/>
    <w:rsid w:val="00A5322A"/>
    <w:rsid w:val="00A53248"/>
    <w:rsid w:val="00A535E5"/>
    <w:rsid w:val="00A537C6"/>
    <w:rsid w:val="00A538B6"/>
    <w:rsid w:val="00A54A9E"/>
    <w:rsid w:val="00A54DA9"/>
    <w:rsid w:val="00A54E44"/>
    <w:rsid w:val="00A55140"/>
    <w:rsid w:val="00A55580"/>
    <w:rsid w:val="00A555EB"/>
    <w:rsid w:val="00A55A22"/>
    <w:rsid w:val="00A57853"/>
    <w:rsid w:val="00A57A1D"/>
    <w:rsid w:val="00A6007B"/>
    <w:rsid w:val="00A6048B"/>
    <w:rsid w:val="00A60E47"/>
    <w:rsid w:val="00A60FF3"/>
    <w:rsid w:val="00A615DD"/>
    <w:rsid w:val="00A63028"/>
    <w:rsid w:val="00A63D21"/>
    <w:rsid w:val="00A6458E"/>
    <w:rsid w:val="00A64859"/>
    <w:rsid w:val="00A64C0C"/>
    <w:rsid w:val="00A665F4"/>
    <w:rsid w:val="00A67771"/>
    <w:rsid w:val="00A709CD"/>
    <w:rsid w:val="00A709E7"/>
    <w:rsid w:val="00A70B89"/>
    <w:rsid w:val="00A70B9F"/>
    <w:rsid w:val="00A71170"/>
    <w:rsid w:val="00A712C6"/>
    <w:rsid w:val="00A71B5E"/>
    <w:rsid w:val="00A721FB"/>
    <w:rsid w:val="00A72480"/>
    <w:rsid w:val="00A72A48"/>
    <w:rsid w:val="00A72B7F"/>
    <w:rsid w:val="00A72C80"/>
    <w:rsid w:val="00A7318D"/>
    <w:rsid w:val="00A73669"/>
    <w:rsid w:val="00A73901"/>
    <w:rsid w:val="00A73DEB"/>
    <w:rsid w:val="00A74226"/>
    <w:rsid w:val="00A74843"/>
    <w:rsid w:val="00A74EAC"/>
    <w:rsid w:val="00A75449"/>
    <w:rsid w:val="00A75702"/>
    <w:rsid w:val="00A75934"/>
    <w:rsid w:val="00A765F1"/>
    <w:rsid w:val="00A76664"/>
    <w:rsid w:val="00A7694F"/>
    <w:rsid w:val="00A77C22"/>
    <w:rsid w:val="00A8056E"/>
    <w:rsid w:val="00A80A32"/>
    <w:rsid w:val="00A80EBD"/>
    <w:rsid w:val="00A80FBB"/>
    <w:rsid w:val="00A8107D"/>
    <w:rsid w:val="00A81B03"/>
    <w:rsid w:val="00A81DCF"/>
    <w:rsid w:val="00A81EFA"/>
    <w:rsid w:val="00A823CA"/>
    <w:rsid w:val="00A82701"/>
    <w:rsid w:val="00A82741"/>
    <w:rsid w:val="00A8276E"/>
    <w:rsid w:val="00A833CD"/>
    <w:rsid w:val="00A840C5"/>
    <w:rsid w:val="00A84471"/>
    <w:rsid w:val="00A84C2E"/>
    <w:rsid w:val="00A85314"/>
    <w:rsid w:val="00A85842"/>
    <w:rsid w:val="00A86C8D"/>
    <w:rsid w:val="00A872A5"/>
    <w:rsid w:val="00A87941"/>
    <w:rsid w:val="00A87C85"/>
    <w:rsid w:val="00A903F3"/>
    <w:rsid w:val="00A90833"/>
    <w:rsid w:val="00A91FA2"/>
    <w:rsid w:val="00A922F1"/>
    <w:rsid w:val="00A923CC"/>
    <w:rsid w:val="00A926F6"/>
    <w:rsid w:val="00A93480"/>
    <w:rsid w:val="00A93A69"/>
    <w:rsid w:val="00A93DC3"/>
    <w:rsid w:val="00A93DE9"/>
    <w:rsid w:val="00A942A4"/>
    <w:rsid w:val="00A94789"/>
    <w:rsid w:val="00A949D5"/>
    <w:rsid w:val="00A949F8"/>
    <w:rsid w:val="00A95018"/>
    <w:rsid w:val="00A95479"/>
    <w:rsid w:val="00A955CF"/>
    <w:rsid w:val="00A95675"/>
    <w:rsid w:val="00A958F2"/>
    <w:rsid w:val="00A961E6"/>
    <w:rsid w:val="00A97616"/>
    <w:rsid w:val="00A9773E"/>
    <w:rsid w:val="00A97CE8"/>
    <w:rsid w:val="00A97FF2"/>
    <w:rsid w:val="00AA0742"/>
    <w:rsid w:val="00AA1084"/>
    <w:rsid w:val="00AA1E77"/>
    <w:rsid w:val="00AA1EAF"/>
    <w:rsid w:val="00AA1F71"/>
    <w:rsid w:val="00AA214E"/>
    <w:rsid w:val="00AA2476"/>
    <w:rsid w:val="00AA3899"/>
    <w:rsid w:val="00AA392C"/>
    <w:rsid w:val="00AA3A96"/>
    <w:rsid w:val="00AA3B27"/>
    <w:rsid w:val="00AA3BCE"/>
    <w:rsid w:val="00AA3CD6"/>
    <w:rsid w:val="00AA41D9"/>
    <w:rsid w:val="00AA433B"/>
    <w:rsid w:val="00AA4B64"/>
    <w:rsid w:val="00AA50B7"/>
    <w:rsid w:val="00AA57CB"/>
    <w:rsid w:val="00AA59CB"/>
    <w:rsid w:val="00AA615D"/>
    <w:rsid w:val="00AA785B"/>
    <w:rsid w:val="00AA7A75"/>
    <w:rsid w:val="00AB0004"/>
    <w:rsid w:val="00AB0BDB"/>
    <w:rsid w:val="00AB0D48"/>
    <w:rsid w:val="00AB1478"/>
    <w:rsid w:val="00AB1562"/>
    <w:rsid w:val="00AB31B7"/>
    <w:rsid w:val="00AB3FDC"/>
    <w:rsid w:val="00AB4105"/>
    <w:rsid w:val="00AB4E62"/>
    <w:rsid w:val="00AB5B80"/>
    <w:rsid w:val="00AB5D57"/>
    <w:rsid w:val="00AB5E6E"/>
    <w:rsid w:val="00AB5E9B"/>
    <w:rsid w:val="00AB6632"/>
    <w:rsid w:val="00AB75B0"/>
    <w:rsid w:val="00AC0051"/>
    <w:rsid w:val="00AC0081"/>
    <w:rsid w:val="00AC075C"/>
    <w:rsid w:val="00AC09B6"/>
    <w:rsid w:val="00AC0AB1"/>
    <w:rsid w:val="00AC10FA"/>
    <w:rsid w:val="00AC13AD"/>
    <w:rsid w:val="00AC16B5"/>
    <w:rsid w:val="00AC1ED4"/>
    <w:rsid w:val="00AC2049"/>
    <w:rsid w:val="00AC35CF"/>
    <w:rsid w:val="00AC3650"/>
    <w:rsid w:val="00AC45C0"/>
    <w:rsid w:val="00AC5858"/>
    <w:rsid w:val="00AC5BBF"/>
    <w:rsid w:val="00AC6029"/>
    <w:rsid w:val="00AC603C"/>
    <w:rsid w:val="00AC7722"/>
    <w:rsid w:val="00AD0B92"/>
    <w:rsid w:val="00AD1146"/>
    <w:rsid w:val="00AD11E7"/>
    <w:rsid w:val="00AD189E"/>
    <w:rsid w:val="00AD25DB"/>
    <w:rsid w:val="00AD2942"/>
    <w:rsid w:val="00AD2FB1"/>
    <w:rsid w:val="00AD307D"/>
    <w:rsid w:val="00AD36F7"/>
    <w:rsid w:val="00AD4B15"/>
    <w:rsid w:val="00AD4D40"/>
    <w:rsid w:val="00AD596F"/>
    <w:rsid w:val="00AD5D19"/>
    <w:rsid w:val="00AD63D9"/>
    <w:rsid w:val="00AD65F0"/>
    <w:rsid w:val="00AD65FB"/>
    <w:rsid w:val="00AD7D97"/>
    <w:rsid w:val="00AE00AC"/>
    <w:rsid w:val="00AE0B35"/>
    <w:rsid w:val="00AE0B77"/>
    <w:rsid w:val="00AE11D7"/>
    <w:rsid w:val="00AE1520"/>
    <w:rsid w:val="00AE1AA4"/>
    <w:rsid w:val="00AE1ABB"/>
    <w:rsid w:val="00AE2100"/>
    <w:rsid w:val="00AE2484"/>
    <w:rsid w:val="00AE26D5"/>
    <w:rsid w:val="00AE33CD"/>
    <w:rsid w:val="00AE3C92"/>
    <w:rsid w:val="00AE558D"/>
    <w:rsid w:val="00AE5F17"/>
    <w:rsid w:val="00AE6B4E"/>
    <w:rsid w:val="00AE6B95"/>
    <w:rsid w:val="00AE7688"/>
    <w:rsid w:val="00AE79FE"/>
    <w:rsid w:val="00AF067F"/>
    <w:rsid w:val="00AF078B"/>
    <w:rsid w:val="00AF09B5"/>
    <w:rsid w:val="00AF1EB6"/>
    <w:rsid w:val="00AF1EFF"/>
    <w:rsid w:val="00AF20B3"/>
    <w:rsid w:val="00AF27B8"/>
    <w:rsid w:val="00AF32E4"/>
    <w:rsid w:val="00AF37FA"/>
    <w:rsid w:val="00AF4A95"/>
    <w:rsid w:val="00AF509F"/>
    <w:rsid w:val="00AF557C"/>
    <w:rsid w:val="00AF564A"/>
    <w:rsid w:val="00AF744A"/>
    <w:rsid w:val="00AF76A5"/>
    <w:rsid w:val="00AF7D53"/>
    <w:rsid w:val="00AF7FBA"/>
    <w:rsid w:val="00B00A4E"/>
    <w:rsid w:val="00B00D12"/>
    <w:rsid w:val="00B00DDC"/>
    <w:rsid w:val="00B01DE5"/>
    <w:rsid w:val="00B022A4"/>
    <w:rsid w:val="00B02464"/>
    <w:rsid w:val="00B02A22"/>
    <w:rsid w:val="00B02DCA"/>
    <w:rsid w:val="00B02E86"/>
    <w:rsid w:val="00B02F30"/>
    <w:rsid w:val="00B03BA7"/>
    <w:rsid w:val="00B043D4"/>
    <w:rsid w:val="00B047E6"/>
    <w:rsid w:val="00B04998"/>
    <w:rsid w:val="00B04F4E"/>
    <w:rsid w:val="00B04F96"/>
    <w:rsid w:val="00B0543B"/>
    <w:rsid w:val="00B06118"/>
    <w:rsid w:val="00B0684A"/>
    <w:rsid w:val="00B06CAE"/>
    <w:rsid w:val="00B10413"/>
    <w:rsid w:val="00B10B91"/>
    <w:rsid w:val="00B10BCE"/>
    <w:rsid w:val="00B10C3D"/>
    <w:rsid w:val="00B10D68"/>
    <w:rsid w:val="00B10FB7"/>
    <w:rsid w:val="00B111E4"/>
    <w:rsid w:val="00B11ECC"/>
    <w:rsid w:val="00B13B28"/>
    <w:rsid w:val="00B15CC2"/>
    <w:rsid w:val="00B15E4F"/>
    <w:rsid w:val="00B15E66"/>
    <w:rsid w:val="00B164C3"/>
    <w:rsid w:val="00B17684"/>
    <w:rsid w:val="00B206AE"/>
    <w:rsid w:val="00B21365"/>
    <w:rsid w:val="00B213A7"/>
    <w:rsid w:val="00B216DD"/>
    <w:rsid w:val="00B21D6F"/>
    <w:rsid w:val="00B2202F"/>
    <w:rsid w:val="00B22128"/>
    <w:rsid w:val="00B225C4"/>
    <w:rsid w:val="00B22A77"/>
    <w:rsid w:val="00B230D8"/>
    <w:rsid w:val="00B23A1B"/>
    <w:rsid w:val="00B2420C"/>
    <w:rsid w:val="00B2434B"/>
    <w:rsid w:val="00B25E86"/>
    <w:rsid w:val="00B261E0"/>
    <w:rsid w:val="00B2650B"/>
    <w:rsid w:val="00B26858"/>
    <w:rsid w:val="00B2733B"/>
    <w:rsid w:val="00B27B9C"/>
    <w:rsid w:val="00B3054A"/>
    <w:rsid w:val="00B30557"/>
    <w:rsid w:val="00B30749"/>
    <w:rsid w:val="00B309DD"/>
    <w:rsid w:val="00B30E1F"/>
    <w:rsid w:val="00B3189E"/>
    <w:rsid w:val="00B3292E"/>
    <w:rsid w:val="00B329C4"/>
    <w:rsid w:val="00B32C86"/>
    <w:rsid w:val="00B32D2B"/>
    <w:rsid w:val="00B32D84"/>
    <w:rsid w:val="00B32E1C"/>
    <w:rsid w:val="00B33083"/>
    <w:rsid w:val="00B3428F"/>
    <w:rsid w:val="00B345D9"/>
    <w:rsid w:val="00B3486B"/>
    <w:rsid w:val="00B34C6A"/>
    <w:rsid w:val="00B34DDD"/>
    <w:rsid w:val="00B34F67"/>
    <w:rsid w:val="00B354A4"/>
    <w:rsid w:val="00B35873"/>
    <w:rsid w:val="00B3643C"/>
    <w:rsid w:val="00B366FB"/>
    <w:rsid w:val="00B3748C"/>
    <w:rsid w:val="00B40A80"/>
    <w:rsid w:val="00B41BD9"/>
    <w:rsid w:val="00B41CA0"/>
    <w:rsid w:val="00B41F5E"/>
    <w:rsid w:val="00B42442"/>
    <w:rsid w:val="00B42879"/>
    <w:rsid w:val="00B435FA"/>
    <w:rsid w:val="00B43E45"/>
    <w:rsid w:val="00B44AB3"/>
    <w:rsid w:val="00B44D2E"/>
    <w:rsid w:val="00B44D47"/>
    <w:rsid w:val="00B46B16"/>
    <w:rsid w:val="00B47F0E"/>
    <w:rsid w:val="00B509F9"/>
    <w:rsid w:val="00B50BFE"/>
    <w:rsid w:val="00B512A8"/>
    <w:rsid w:val="00B52076"/>
    <w:rsid w:val="00B52586"/>
    <w:rsid w:val="00B530F3"/>
    <w:rsid w:val="00B53364"/>
    <w:rsid w:val="00B53E40"/>
    <w:rsid w:val="00B54124"/>
    <w:rsid w:val="00B541D7"/>
    <w:rsid w:val="00B549E0"/>
    <w:rsid w:val="00B54A52"/>
    <w:rsid w:val="00B57508"/>
    <w:rsid w:val="00B600E3"/>
    <w:rsid w:val="00B60E77"/>
    <w:rsid w:val="00B6128B"/>
    <w:rsid w:val="00B6160B"/>
    <w:rsid w:val="00B61613"/>
    <w:rsid w:val="00B618E6"/>
    <w:rsid w:val="00B61CF0"/>
    <w:rsid w:val="00B61D96"/>
    <w:rsid w:val="00B620B9"/>
    <w:rsid w:val="00B6227B"/>
    <w:rsid w:val="00B63826"/>
    <w:rsid w:val="00B63899"/>
    <w:rsid w:val="00B63F4B"/>
    <w:rsid w:val="00B64402"/>
    <w:rsid w:val="00B6445B"/>
    <w:rsid w:val="00B647C8"/>
    <w:rsid w:val="00B64F5D"/>
    <w:rsid w:val="00B64F6C"/>
    <w:rsid w:val="00B66236"/>
    <w:rsid w:val="00B67245"/>
    <w:rsid w:val="00B6732D"/>
    <w:rsid w:val="00B67D49"/>
    <w:rsid w:val="00B705BA"/>
    <w:rsid w:val="00B70628"/>
    <w:rsid w:val="00B70A78"/>
    <w:rsid w:val="00B70FA3"/>
    <w:rsid w:val="00B710C8"/>
    <w:rsid w:val="00B714A0"/>
    <w:rsid w:val="00B71E70"/>
    <w:rsid w:val="00B728A7"/>
    <w:rsid w:val="00B72CA8"/>
    <w:rsid w:val="00B73256"/>
    <w:rsid w:val="00B7365D"/>
    <w:rsid w:val="00B73FB1"/>
    <w:rsid w:val="00B74AEF"/>
    <w:rsid w:val="00B75658"/>
    <w:rsid w:val="00B758FC"/>
    <w:rsid w:val="00B75F08"/>
    <w:rsid w:val="00B762C6"/>
    <w:rsid w:val="00B76E24"/>
    <w:rsid w:val="00B771EE"/>
    <w:rsid w:val="00B77294"/>
    <w:rsid w:val="00B80DEA"/>
    <w:rsid w:val="00B813B5"/>
    <w:rsid w:val="00B814A8"/>
    <w:rsid w:val="00B814AA"/>
    <w:rsid w:val="00B81C22"/>
    <w:rsid w:val="00B823C0"/>
    <w:rsid w:val="00B823C2"/>
    <w:rsid w:val="00B8243A"/>
    <w:rsid w:val="00B827F5"/>
    <w:rsid w:val="00B8290D"/>
    <w:rsid w:val="00B82EA9"/>
    <w:rsid w:val="00B8337C"/>
    <w:rsid w:val="00B836B4"/>
    <w:rsid w:val="00B8381D"/>
    <w:rsid w:val="00B83A6F"/>
    <w:rsid w:val="00B84833"/>
    <w:rsid w:val="00B8484D"/>
    <w:rsid w:val="00B84B61"/>
    <w:rsid w:val="00B855E4"/>
    <w:rsid w:val="00B860D4"/>
    <w:rsid w:val="00B86223"/>
    <w:rsid w:val="00B86568"/>
    <w:rsid w:val="00B86710"/>
    <w:rsid w:val="00B86E79"/>
    <w:rsid w:val="00B8726C"/>
    <w:rsid w:val="00B873AE"/>
    <w:rsid w:val="00B877D0"/>
    <w:rsid w:val="00B87A11"/>
    <w:rsid w:val="00B87CBD"/>
    <w:rsid w:val="00B90267"/>
    <w:rsid w:val="00B910AC"/>
    <w:rsid w:val="00B9116E"/>
    <w:rsid w:val="00B9117D"/>
    <w:rsid w:val="00B9195C"/>
    <w:rsid w:val="00B92B53"/>
    <w:rsid w:val="00B92B8D"/>
    <w:rsid w:val="00B92C1E"/>
    <w:rsid w:val="00B92EC9"/>
    <w:rsid w:val="00B92FEF"/>
    <w:rsid w:val="00B941A3"/>
    <w:rsid w:val="00B941E4"/>
    <w:rsid w:val="00B94337"/>
    <w:rsid w:val="00B946B8"/>
    <w:rsid w:val="00B947F1"/>
    <w:rsid w:val="00B95155"/>
    <w:rsid w:val="00B95430"/>
    <w:rsid w:val="00B95850"/>
    <w:rsid w:val="00B959C6"/>
    <w:rsid w:val="00B959FE"/>
    <w:rsid w:val="00B95C1D"/>
    <w:rsid w:val="00B962F0"/>
    <w:rsid w:val="00B969CB"/>
    <w:rsid w:val="00B96B18"/>
    <w:rsid w:val="00B96B95"/>
    <w:rsid w:val="00B97490"/>
    <w:rsid w:val="00B97C20"/>
    <w:rsid w:val="00BA00DE"/>
    <w:rsid w:val="00BA0A4C"/>
    <w:rsid w:val="00BA0BDA"/>
    <w:rsid w:val="00BA1601"/>
    <w:rsid w:val="00BA1B94"/>
    <w:rsid w:val="00BA287B"/>
    <w:rsid w:val="00BA2FFC"/>
    <w:rsid w:val="00BA3031"/>
    <w:rsid w:val="00BA323B"/>
    <w:rsid w:val="00BA32C5"/>
    <w:rsid w:val="00BA3C36"/>
    <w:rsid w:val="00BA3CEA"/>
    <w:rsid w:val="00BA3EA9"/>
    <w:rsid w:val="00BA400F"/>
    <w:rsid w:val="00BA468E"/>
    <w:rsid w:val="00BA4841"/>
    <w:rsid w:val="00BA560D"/>
    <w:rsid w:val="00BA5F85"/>
    <w:rsid w:val="00BA6353"/>
    <w:rsid w:val="00BA68FE"/>
    <w:rsid w:val="00BA7321"/>
    <w:rsid w:val="00BA748E"/>
    <w:rsid w:val="00BB03EF"/>
    <w:rsid w:val="00BB0949"/>
    <w:rsid w:val="00BB1129"/>
    <w:rsid w:val="00BB1352"/>
    <w:rsid w:val="00BB155F"/>
    <w:rsid w:val="00BB1953"/>
    <w:rsid w:val="00BB22E7"/>
    <w:rsid w:val="00BB297C"/>
    <w:rsid w:val="00BB2B63"/>
    <w:rsid w:val="00BB2C13"/>
    <w:rsid w:val="00BB2D09"/>
    <w:rsid w:val="00BB423C"/>
    <w:rsid w:val="00BB4ABD"/>
    <w:rsid w:val="00BB62B8"/>
    <w:rsid w:val="00BB62DC"/>
    <w:rsid w:val="00BB6BAE"/>
    <w:rsid w:val="00BB6DE3"/>
    <w:rsid w:val="00BB77CE"/>
    <w:rsid w:val="00BC0BC9"/>
    <w:rsid w:val="00BC0F80"/>
    <w:rsid w:val="00BC0FF9"/>
    <w:rsid w:val="00BC15B6"/>
    <w:rsid w:val="00BC194F"/>
    <w:rsid w:val="00BC1EDB"/>
    <w:rsid w:val="00BC224D"/>
    <w:rsid w:val="00BC23A1"/>
    <w:rsid w:val="00BC2767"/>
    <w:rsid w:val="00BC305A"/>
    <w:rsid w:val="00BC33B8"/>
    <w:rsid w:val="00BC3C20"/>
    <w:rsid w:val="00BC4693"/>
    <w:rsid w:val="00BC4709"/>
    <w:rsid w:val="00BC49FD"/>
    <w:rsid w:val="00BC6365"/>
    <w:rsid w:val="00BC7890"/>
    <w:rsid w:val="00BC7C3C"/>
    <w:rsid w:val="00BC7DFF"/>
    <w:rsid w:val="00BD07C8"/>
    <w:rsid w:val="00BD091C"/>
    <w:rsid w:val="00BD13E0"/>
    <w:rsid w:val="00BD140C"/>
    <w:rsid w:val="00BD199B"/>
    <w:rsid w:val="00BD2182"/>
    <w:rsid w:val="00BD281C"/>
    <w:rsid w:val="00BD28F5"/>
    <w:rsid w:val="00BD33E3"/>
    <w:rsid w:val="00BD3EA3"/>
    <w:rsid w:val="00BD451D"/>
    <w:rsid w:val="00BD466D"/>
    <w:rsid w:val="00BD6209"/>
    <w:rsid w:val="00BD67A6"/>
    <w:rsid w:val="00BD6909"/>
    <w:rsid w:val="00BD6C03"/>
    <w:rsid w:val="00BD6FFB"/>
    <w:rsid w:val="00BD743C"/>
    <w:rsid w:val="00BD7E3D"/>
    <w:rsid w:val="00BE001E"/>
    <w:rsid w:val="00BE092A"/>
    <w:rsid w:val="00BE0AA6"/>
    <w:rsid w:val="00BE1026"/>
    <w:rsid w:val="00BE1379"/>
    <w:rsid w:val="00BE1C8D"/>
    <w:rsid w:val="00BE2A78"/>
    <w:rsid w:val="00BE32C5"/>
    <w:rsid w:val="00BE34D7"/>
    <w:rsid w:val="00BE3653"/>
    <w:rsid w:val="00BE42B5"/>
    <w:rsid w:val="00BE43B1"/>
    <w:rsid w:val="00BE5234"/>
    <w:rsid w:val="00BE5379"/>
    <w:rsid w:val="00BE5829"/>
    <w:rsid w:val="00BE582F"/>
    <w:rsid w:val="00BE5897"/>
    <w:rsid w:val="00BE5B1B"/>
    <w:rsid w:val="00BE5C44"/>
    <w:rsid w:val="00BE6104"/>
    <w:rsid w:val="00BE6125"/>
    <w:rsid w:val="00BE62FD"/>
    <w:rsid w:val="00BE6372"/>
    <w:rsid w:val="00BE6640"/>
    <w:rsid w:val="00BE6DB6"/>
    <w:rsid w:val="00BE7CAB"/>
    <w:rsid w:val="00BF1757"/>
    <w:rsid w:val="00BF1C31"/>
    <w:rsid w:val="00BF1F89"/>
    <w:rsid w:val="00BF20E2"/>
    <w:rsid w:val="00BF24CF"/>
    <w:rsid w:val="00BF25A5"/>
    <w:rsid w:val="00BF2D0D"/>
    <w:rsid w:val="00BF406B"/>
    <w:rsid w:val="00BF4234"/>
    <w:rsid w:val="00BF44CC"/>
    <w:rsid w:val="00BF455E"/>
    <w:rsid w:val="00BF485A"/>
    <w:rsid w:val="00BF4C51"/>
    <w:rsid w:val="00BF4CCC"/>
    <w:rsid w:val="00BF4E96"/>
    <w:rsid w:val="00BF547B"/>
    <w:rsid w:val="00BF5C25"/>
    <w:rsid w:val="00BF5F8D"/>
    <w:rsid w:val="00BF661F"/>
    <w:rsid w:val="00BF66DD"/>
    <w:rsid w:val="00BF677D"/>
    <w:rsid w:val="00BF67C4"/>
    <w:rsid w:val="00BF6C08"/>
    <w:rsid w:val="00BF7273"/>
    <w:rsid w:val="00BF763D"/>
    <w:rsid w:val="00BF79CE"/>
    <w:rsid w:val="00C00103"/>
    <w:rsid w:val="00C0067D"/>
    <w:rsid w:val="00C008FF"/>
    <w:rsid w:val="00C009C5"/>
    <w:rsid w:val="00C01C10"/>
    <w:rsid w:val="00C022EB"/>
    <w:rsid w:val="00C027D3"/>
    <w:rsid w:val="00C02AB4"/>
    <w:rsid w:val="00C02C14"/>
    <w:rsid w:val="00C02F31"/>
    <w:rsid w:val="00C039FC"/>
    <w:rsid w:val="00C0423E"/>
    <w:rsid w:val="00C044B5"/>
    <w:rsid w:val="00C04562"/>
    <w:rsid w:val="00C0464B"/>
    <w:rsid w:val="00C04C61"/>
    <w:rsid w:val="00C05107"/>
    <w:rsid w:val="00C05140"/>
    <w:rsid w:val="00C05310"/>
    <w:rsid w:val="00C059CF"/>
    <w:rsid w:val="00C065C4"/>
    <w:rsid w:val="00C06A2A"/>
    <w:rsid w:val="00C0725C"/>
    <w:rsid w:val="00C073D1"/>
    <w:rsid w:val="00C07F10"/>
    <w:rsid w:val="00C10197"/>
    <w:rsid w:val="00C10A12"/>
    <w:rsid w:val="00C10BE7"/>
    <w:rsid w:val="00C11152"/>
    <w:rsid w:val="00C112B5"/>
    <w:rsid w:val="00C11C6F"/>
    <w:rsid w:val="00C120B6"/>
    <w:rsid w:val="00C120B8"/>
    <w:rsid w:val="00C12CCD"/>
    <w:rsid w:val="00C12DB5"/>
    <w:rsid w:val="00C13824"/>
    <w:rsid w:val="00C13B69"/>
    <w:rsid w:val="00C14023"/>
    <w:rsid w:val="00C14027"/>
    <w:rsid w:val="00C145D8"/>
    <w:rsid w:val="00C14855"/>
    <w:rsid w:val="00C14A96"/>
    <w:rsid w:val="00C1500E"/>
    <w:rsid w:val="00C15555"/>
    <w:rsid w:val="00C156D1"/>
    <w:rsid w:val="00C158D2"/>
    <w:rsid w:val="00C15A5F"/>
    <w:rsid w:val="00C16885"/>
    <w:rsid w:val="00C1690C"/>
    <w:rsid w:val="00C16931"/>
    <w:rsid w:val="00C16D71"/>
    <w:rsid w:val="00C2003B"/>
    <w:rsid w:val="00C20162"/>
    <w:rsid w:val="00C2019D"/>
    <w:rsid w:val="00C20828"/>
    <w:rsid w:val="00C20C09"/>
    <w:rsid w:val="00C20E21"/>
    <w:rsid w:val="00C21143"/>
    <w:rsid w:val="00C22A7B"/>
    <w:rsid w:val="00C22CEB"/>
    <w:rsid w:val="00C2376F"/>
    <w:rsid w:val="00C238F3"/>
    <w:rsid w:val="00C24346"/>
    <w:rsid w:val="00C248D5"/>
    <w:rsid w:val="00C24CEF"/>
    <w:rsid w:val="00C25048"/>
    <w:rsid w:val="00C254C7"/>
    <w:rsid w:val="00C268C0"/>
    <w:rsid w:val="00C27302"/>
    <w:rsid w:val="00C275BE"/>
    <w:rsid w:val="00C301CF"/>
    <w:rsid w:val="00C3028B"/>
    <w:rsid w:val="00C304FC"/>
    <w:rsid w:val="00C305A7"/>
    <w:rsid w:val="00C30EAF"/>
    <w:rsid w:val="00C31303"/>
    <w:rsid w:val="00C313C8"/>
    <w:rsid w:val="00C31DB3"/>
    <w:rsid w:val="00C32C68"/>
    <w:rsid w:val="00C32D8C"/>
    <w:rsid w:val="00C33246"/>
    <w:rsid w:val="00C3385C"/>
    <w:rsid w:val="00C341F4"/>
    <w:rsid w:val="00C343EC"/>
    <w:rsid w:val="00C344AA"/>
    <w:rsid w:val="00C349E0"/>
    <w:rsid w:val="00C34B7F"/>
    <w:rsid w:val="00C34CC6"/>
    <w:rsid w:val="00C35017"/>
    <w:rsid w:val="00C35921"/>
    <w:rsid w:val="00C364B2"/>
    <w:rsid w:val="00C365A3"/>
    <w:rsid w:val="00C36655"/>
    <w:rsid w:val="00C376DF"/>
    <w:rsid w:val="00C3790A"/>
    <w:rsid w:val="00C37DF7"/>
    <w:rsid w:val="00C400AD"/>
    <w:rsid w:val="00C407D3"/>
    <w:rsid w:val="00C40EC1"/>
    <w:rsid w:val="00C41641"/>
    <w:rsid w:val="00C41A20"/>
    <w:rsid w:val="00C41B54"/>
    <w:rsid w:val="00C41E53"/>
    <w:rsid w:val="00C41F82"/>
    <w:rsid w:val="00C4280C"/>
    <w:rsid w:val="00C43390"/>
    <w:rsid w:val="00C43B85"/>
    <w:rsid w:val="00C44B9A"/>
    <w:rsid w:val="00C44D91"/>
    <w:rsid w:val="00C44F38"/>
    <w:rsid w:val="00C45A5E"/>
    <w:rsid w:val="00C46CCB"/>
    <w:rsid w:val="00C46E45"/>
    <w:rsid w:val="00C46FDE"/>
    <w:rsid w:val="00C47408"/>
    <w:rsid w:val="00C4753E"/>
    <w:rsid w:val="00C475A8"/>
    <w:rsid w:val="00C475DE"/>
    <w:rsid w:val="00C47CDC"/>
    <w:rsid w:val="00C47E72"/>
    <w:rsid w:val="00C506D0"/>
    <w:rsid w:val="00C514D3"/>
    <w:rsid w:val="00C51822"/>
    <w:rsid w:val="00C5193C"/>
    <w:rsid w:val="00C520D4"/>
    <w:rsid w:val="00C52232"/>
    <w:rsid w:val="00C52770"/>
    <w:rsid w:val="00C52FD6"/>
    <w:rsid w:val="00C53E23"/>
    <w:rsid w:val="00C54082"/>
    <w:rsid w:val="00C540FD"/>
    <w:rsid w:val="00C54391"/>
    <w:rsid w:val="00C559B3"/>
    <w:rsid w:val="00C56776"/>
    <w:rsid w:val="00C56A1E"/>
    <w:rsid w:val="00C56F32"/>
    <w:rsid w:val="00C573FA"/>
    <w:rsid w:val="00C57992"/>
    <w:rsid w:val="00C57DD0"/>
    <w:rsid w:val="00C616FE"/>
    <w:rsid w:val="00C61FE3"/>
    <w:rsid w:val="00C627F2"/>
    <w:rsid w:val="00C62BC3"/>
    <w:rsid w:val="00C6315D"/>
    <w:rsid w:val="00C634E0"/>
    <w:rsid w:val="00C63646"/>
    <w:rsid w:val="00C636EA"/>
    <w:rsid w:val="00C6490E"/>
    <w:rsid w:val="00C64D3C"/>
    <w:rsid w:val="00C64F10"/>
    <w:rsid w:val="00C653A2"/>
    <w:rsid w:val="00C66AD6"/>
    <w:rsid w:val="00C67989"/>
    <w:rsid w:val="00C67A9B"/>
    <w:rsid w:val="00C67BE5"/>
    <w:rsid w:val="00C705C1"/>
    <w:rsid w:val="00C707B7"/>
    <w:rsid w:val="00C70C48"/>
    <w:rsid w:val="00C717F1"/>
    <w:rsid w:val="00C7232F"/>
    <w:rsid w:val="00C723E0"/>
    <w:rsid w:val="00C72524"/>
    <w:rsid w:val="00C72EE6"/>
    <w:rsid w:val="00C72F53"/>
    <w:rsid w:val="00C74A47"/>
    <w:rsid w:val="00C74ED4"/>
    <w:rsid w:val="00C7506B"/>
    <w:rsid w:val="00C75DE6"/>
    <w:rsid w:val="00C75E05"/>
    <w:rsid w:val="00C7645D"/>
    <w:rsid w:val="00C7695C"/>
    <w:rsid w:val="00C76AB5"/>
    <w:rsid w:val="00C77353"/>
    <w:rsid w:val="00C7749A"/>
    <w:rsid w:val="00C80879"/>
    <w:rsid w:val="00C81127"/>
    <w:rsid w:val="00C814FC"/>
    <w:rsid w:val="00C81540"/>
    <w:rsid w:val="00C82126"/>
    <w:rsid w:val="00C82277"/>
    <w:rsid w:val="00C8247D"/>
    <w:rsid w:val="00C82E1D"/>
    <w:rsid w:val="00C83408"/>
    <w:rsid w:val="00C83AC1"/>
    <w:rsid w:val="00C843A8"/>
    <w:rsid w:val="00C84760"/>
    <w:rsid w:val="00C84B35"/>
    <w:rsid w:val="00C84B7D"/>
    <w:rsid w:val="00C84CCE"/>
    <w:rsid w:val="00C8516C"/>
    <w:rsid w:val="00C85266"/>
    <w:rsid w:val="00C854CB"/>
    <w:rsid w:val="00C85644"/>
    <w:rsid w:val="00C861A6"/>
    <w:rsid w:val="00C862EE"/>
    <w:rsid w:val="00C86732"/>
    <w:rsid w:val="00C878A6"/>
    <w:rsid w:val="00C900AD"/>
    <w:rsid w:val="00C90C07"/>
    <w:rsid w:val="00C918CC"/>
    <w:rsid w:val="00C91B0C"/>
    <w:rsid w:val="00C92BD7"/>
    <w:rsid w:val="00C92DC1"/>
    <w:rsid w:val="00C93108"/>
    <w:rsid w:val="00C933C7"/>
    <w:rsid w:val="00C93F6F"/>
    <w:rsid w:val="00C94263"/>
    <w:rsid w:val="00C944D7"/>
    <w:rsid w:val="00C94563"/>
    <w:rsid w:val="00C945D9"/>
    <w:rsid w:val="00C94DB6"/>
    <w:rsid w:val="00C94F01"/>
    <w:rsid w:val="00C95878"/>
    <w:rsid w:val="00C96AD5"/>
    <w:rsid w:val="00C96EF8"/>
    <w:rsid w:val="00C976B3"/>
    <w:rsid w:val="00CA0DBE"/>
    <w:rsid w:val="00CA1C0E"/>
    <w:rsid w:val="00CA2301"/>
    <w:rsid w:val="00CA23C4"/>
    <w:rsid w:val="00CA27E0"/>
    <w:rsid w:val="00CA28A1"/>
    <w:rsid w:val="00CA2A51"/>
    <w:rsid w:val="00CA2C11"/>
    <w:rsid w:val="00CA2E1F"/>
    <w:rsid w:val="00CA3008"/>
    <w:rsid w:val="00CA3134"/>
    <w:rsid w:val="00CA33B8"/>
    <w:rsid w:val="00CA3570"/>
    <w:rsid w:val="00CA3C45"/>
    <w:rsid w:val="00CA3C82"/>
    <w:rsid w:val="00CA3FC4"/>
    <w:rsid w:val="00CA458F"/>
    <w:rsid w:val="00CA496C"/>
    <w:rsid w:val="00CA4BBD"/>
    <w:rsid w:val="00CA51FF"/>
    <w:rsid w:val="00CA53E8"/>
    <w:rsid w:val="00CA5F44"/>
    <w:rsid w:val="00CA62D0"/>
    <w:rsid w:val="00CA6DD3"/>
    <w:rsid w:val="00CA727C"/>
    <w:rsid w:val="00CA73DD"/>
    <w:rsid w:val="00CB1E86"/>
    <w:rsid w:val="00CB25D8"/>
    <w:rsid w:val="00CB2807"/>
    <w:rsid w:val="00CB329C"/>
    <w:rsid w:val="00CB35DD"/>
    <w:rsid w:val="00CB4B35"/>
    <w:rsid w:val="00CB507A"/>
    <w:rsid w:val="00CB5595"/>
    <w:rsid w:val="00CB5E78"/>
    <w:rsid w:val="00CB608A"/>
    <w:rsid w:val="00CB6273"/>
    <w:rsid w:val="00CB6616"/>
    <w:rsid w:val="00CB68F9"/>
    <w:rsid w:val="00CB6CB2"/>
    <w:rsid w:val="00CB6FC4"/>
    <w:rsid w:val="00CB7231"/>
    <w:rsid w:val="00CB7324"/>
    <w:rsid w:val="00CB743D"/>
    <w:rsid w:val="00CB75AB"/>
    <w:rsid w:val="00CB79EC"/>
    <w:rsid w:val="00CB7BD8"/>
    <w:rsid w:val="00CC045A"/>
    <w:rsid w:val="00CC11FA"/>
    <w:rsid w:val="00CC1939"/>
    <w:rsid w:val="00CC1C1A"/>
    <w:rsid w:val="00CC2EE8"/>
    <w:rsid w:val="00CC3817"/>
    <w:rsid w:val="00CC3908"/>
    <w:rsid w:val="00CC3A64"/>
    <w:rsid w:val="00CC4CD0"/>
    <w:rsid w:val="00CC4ED0"/>
    <w:rsid w:val="00CC4F53"/>
    <w:rsid w:val="00CC55B6"/>
    <w:rsid w:val="00CC5D8C"/>
    <w:rsid w:val="00CC5E28"/>
    <w:rsid w:val="00CC5EA0"/>
    <w:rsid w:val="00CC5EC1"/>
    <w:rsid w:val="00CC6C48"/>
    <w:rsid w:val="00CC725D"/>
    <w:rsid w:val="00CC728E"/>
    <w:rsid w:val="00CC72A0"/>
    <w:rsid w:val="00CC79E9"/>
    <w:rsid w:val="00CC7B3E"/>
    <w:rsid w:val="00CD0450"/>
    <w:rsid w:val="00CD0701"/>
    <w:rsid w:val="00CD087D"/>
    <w:rsid w:val="00CD0E2C"/>
    <w:rsid w:val="00CD13F1"/>
    <w:rsid w:val="00CD1924"/>
    <w:rsid w:val="00CD1B17"/>
    <w:rsid w:val="00CD1E9F"/>
    <w:rsid w:val="00CD21DA"/>
    <w:rsid w:val="00CD3A03"/>
    <w:rsid w:val="00CD3F92"/>
    <w:rsid w:val="00CD4761"/>
    <w:rsid w:val="00CD49B2"/>
    <w:rsid w:val="00CD4E0F"/>
    <w:rsid w:val="00CD4F58"/>
    <w:rsid w:val="00CD52DF"/>
    <w:rsid w:val="00CD5BB1"/>
    <w:rsid w:val="00CD5C95"/>
    <w:rsid w:val="00CD6AC2"/>
    <w:rsid w:val="00CD6DAA"/>
    <w:rsid w:val="00CD6E17"/>
    <w:rsid w:val="00CD6FB4"/>
    <w:rsid w:val="00CD79B5"/>
    <w:rsid w:val="00CE076D"/>
    <w:rsid w:val="00CE078D"/>
    <w:rsid w:val="00CE08BD"/>
    <w:rsid w:val="00CE0D40"/>
    <w:rsid w:val="00CE0F70"/>
    <w:rsid w:val="00CE15CB"/>
    <w:rsid w:val="00CE1734"/>
    <w:rsid w:val="00CE1D1E"/>
    <w:rsid w:val="00CE1FB6"/>
    <w:rsid w:val="00CE28D5"/>
    <w:rsid w:val="00CE30F3"/>
    <w:rsid w:val="00CE351B"/>
    <w:rsid w:val="00CE36F3"/>
    <w:rsid w:val="00CE44B7"/>
    <w:rsid w:val="00CE4E5F"/>
    <w:rsid w:val="00CE505D"/>
    <w:rsid w:val="00CE5712"/>
    <w:rsid w:val="00CE630B"/>
    <w:rsid w:val="00CE6C73"/>
    <w:rsid w:val="00CE6E20"/>
    <w:rsid w:val="00CE701F"/>
    <w:rsid w:val="00CE7F2B"/>
    <w:rsid w:val="00CF098E"/>
    <w:rsid w:val="00CF0A31"/>
    <w:rsid w:val="00CF0AD7"/>
    <w:rsid w:val="00CF0F79"/>
    <w:rsid w:val="00CF1259"/>
    <w:rsid w:val="00CF13B3"/>
    <w:rsid w:val="00CF287E"/>
    <w:rsid w:val="00CF3610"/>
    <w:rsid w:val="00CF394E"/>
    <w:rsid w:val="00CF43CA"/>
    <w:rsid w:val="00CF4BFA"/>
    <w:rsid w:val="00CF53F0"/>
    <w:rsid w:val="00CF5B79"/>
    <w:rsid w:val="00CF5EE8"/>
    <w:rsid w:val="00CF62AA"/>
    <w:rsid w:val="00CF681C"/>
    <w:rsid w:val="00CF70AA"/>
    <w:rsid w:val="00CF7652"/>
    <w:rsid w:val="00CF767B"/>
    <w:rsid w:val="00CF7CAC"/>
    <w:rsid w:val="00D005C7"/>
    <w:rsid w:val="00D00B2B"/>
    <w:rsid w:val="00D0144C"/>
    <w:rsid w:val="00D014D6"/>
    <w:rsid w:val="00D01D52"/>
    <w:rsid w:val="00D02073"/>
    <w:rsid w:val="00D025DF"/>
    <w:rsid w:val="00D02740"/>
    <w:rsid w:val="00D02772"/>
    <w:rsid w:val="00D03DA9"/>
    <w:rsid w:val="00D042F9"/>
    <w:rsid w:val="00D05D75"/>
    <w:rsid w:val="00D07222"/>
    <w:rsid w:val="00D107A1"/>
    <w:rsid w:val="00D10B9B"/>
    <w:rsid w:val="00D10F7E"/>
    <w:rsid w:val="00D11487"/>
    <w:rsid w:val="00D1154C"/>
    <w:rsid w:val="00D11874"/>
    <w:rsid w:val="00D11BB2"/>
    <w:rsid w:val="00D12653"/>
    <w:rsid w:val="00D12C13"/>
    <w:rsid w:val="00D12DD0"/>
    <w:rsid w:val="00D13256"/>
    <w:rsid w:val="00D134ED"/>
    <w:rsid w:val="00D1414F"/>
    <w:rsid w:val="00D14344"/>
    <w:rsid w:val="00D146C7"/>
    <w:rsid w:val="00D14CD0"/>
    <w:rsid w:val="00D163CF"/>
    <w:rsid w:val="00D163F0"/>
    <w:rsid w:val="00D164D8"/>
    <w:rsid w:val="00D16942"/>
    <w:rsid w:val="00D16DE5"/>
    <w:rsid w:val="00D16F50"/>
    <w:rsid w:val="00D176BB"/>
    <w:rsid w:val="00D2032C"/>
    <w:rsid w:val="00D209B8"/>
    <w:rsid w:val="00D21711"/>
    <w:rsid w:val="00D21812"/>
    <w:rsid w:val="00D21C99"/>
    <w:rsid w:val="00D21D06"/>
    <w:rsid w:val="00D21E76"/>
    <w:rsid w:val="00D21F47"/>
    <w:rsid w:val="00D22057"/>
    <w:rsid w:val="00D230D9"/>
    <w:rsid w:val="00D23260"/>
    <w:rsid w:val="00D23A0F"/>
    <w:rsid w:val="00D23A55"/>
    <w:rsid w:val="00D23B41"/>
    <w:rsid w:val="00D23FB9"/>
    <w:rsid w:val="00D249A5"/>
    <w:rsid w:val="00D24C72"/>
    <w:rsid w:val="00D25174"/>
    <w:rsid w:val="00D25E24"/>
    <w:rsid w:val="00D25EB5"/>
    <w:rsid w:val="00D26246"/>
    <w:rsid w:val="00D27009"/>
    <w:rsid w:val="00D27672"/>
    <w:rsid w:val="00D27ABC"/>
    <w:rsid w:val="00D27D94"/>
    <w:rsid w:val="00D30037"/>
    <w:rsid w:val="00D307C5"/>
    <w:rsid w:val="00D30B1B"/>
    <w:rsid w:val="00D30BF2"/>
    <w:rsid w:val="00D30CCD"/>
    <w:rsid w:val="00D30EE0"/>
    <w:rsid w:val="00D323DB"/>
    <w:rsid w:val="00D324DB"/>
    <w:rsid w:val="00D327F9"/>
    <w:rsid w:val="00D32A03"/>
    <w:rsid w:val="00D33992"/>
    <w:rsid w:val="00D339BE"/>
    <w:rsid w:val="00D33A85"/>
    <w:rsid w:val="00D33B49"/>
    <w:rsid w:val="00D34C7F"/>
    <w:rsid w:val="00D35032"/>
    <w:rsid w:val="00D35616"/>
    <w:rsid w:val="00D35D14"/>
    <w:rsid w:val="00D362D6"/>
    <w:rsid w:val="00D36875"/>
    <w:rsid w:val="00D36C8B"/>
    <w:rsid w:val="00D37ABE"/>
    <w:rsid w:val="00D37B6B"/>
    <w:rsid w:val="00D37C03"/>
    <w:rsid w:val="00D401E1"/>
    <w:rsid w:val="00D403B8"/>
    <w:rsid w:val="00D405B0"/>
    <w:rsid w:val="00D40645"/>
    <w:rsid w:val="00D41EB1"/>
    <w:rsid w:val="00D42444"/>
    <w:rsid w:val="00D426F2"/>
    <w:rsid w:val="00D4285D"/>
    <w:rsid w:val="00D42A67"/>
    <w:rsid w:val="00D43B94"/>
    <w:rsid w:val="00D43EB5"/>
    <w:rsid w:val="00D44723"/>
    <w:rsid w:val="00D44A0E"/>
    <w:rsid w:val="00D44F1A"/>
    <w:rsid w:val="00D455D1"/>
    <w:rsid w:val="00D45990"/>
    <w:rsid w:val="00D4683B"/>
    <w:rsid w:val="00D47723"/>
    <w:rsid w:val="00D47B54"/>
    <w:rsid w:val="00D47DF5"/>
    <w:rsid w:val="00D50535"/>
    <w:rsid w:val="00D50E66"/>
    <w:rsid w:val="00D51659"/>
    <w:rsid w:val="00D51C74"/>
    <w:rsid w:val="00D51ED5"/>
    <w:rsid w:val="00D52196"/>
    <w:rsid w:val="00D52323"/>
    <w:rsid w:val="00D528BE"/>
    <w:rsid w:val="00D52DE3"/>
    <w:rsid w:val="00D52F46"/>
    <w:rsid w:val="00D53EF2"/>
    <w:rsid w:val="00D54B5F"/>
    <w:rsid w:val="00D5550D"/>
    <w:rsid w:val="00D55743"/>
    <w:rsid w:val="00D5588E"/>
    <w:rsid w:val="00D56953"/>
    <w:rsid w:val="00D56F48"/>
    <w:rsid w:val="00D57510"/>
    <w:rsid w:val="00D5754A"/>
    <w:rsid w:val="00D578B1"/>
    <w:rsid w:val="00D579E3"/>
    <w:rsid w:val="00D57D5E"/>
    <w:rsid w:val="00D60220"/>
    <w:rsid w:val="00D6030C"/>
    <w:rsid w:val="00D605B6"/>
    <w:rsid w:val="00D60C9E"/>
    <w:rsid w:val="00D6157B"/>
    <w:rsid w:val="00D616B4"/>
    <w:rsid w:val="00D617B6"/>
    <w:rsid w:val="00D61AE2"/>
    <w:rsid w:val="00D61B1B"/>
    <w:rsid w:val="00D61DEE"/>
    <w:rsid w:val="00D62EB1"/>
    <w:rsid w:val="00D6336F"/>
    <w:rsid w:val="00D639BD"/>
    <w:rsid w:val="00D63A1B"/>
    <w:rsid w:val="00D648A9"/>
    <w:rsid w:val="00D64DCF"/>
    <w:rsid w:val="00D658A2"/>
    <w:rsid w:val="00D659A6"/>
    <w:rsid w:val="00D66393"/>
    <w:rsid w:val="00D66EFB"/>
    <w:rsid w:val="00D6712C"/>
    <w:rsid w:val="00D677E0"/>
    <w:rsid w:val="00D706D8"/>
    <w:rsid w:val="00D71CB0"/>
    <w:rsid w:val="00D72956"/>
    <w:rsid w:val="00D72D7C"/>
    <w:rsid w:val="00D72DEE"/>
    <w:rsid w:val="00D73797"/>
    <w:rsid w:val="00D7397D"/>
    <w:rsid w:val="00D73B27"/>
    <w:rsid w:val="00D752E8"/>
    <w:rsid w:val="00D75830"/>
    <w:rsid w:val="00D75A51"/>
    <w:rsid w:val="00D75C33"/>
    <w:rsid w:val="00D76ED1"/>
    <w:rsid w:val="00D8203B"/>
    <w:rsid w:val="00D835EA"/>
    <w:rsid w:val="00D838EA"/>
    <w:rsid w:val="00D83C07"/>
    <w:rsid w:val="00D858DD"/>
    <w:rsid w:val="00D85C37"/>
    <w:rsid w:val="00D85C9D"/>
    <w:rsid w:val="00D87072"/>
    <w:rsid w:val="00D87159"/>
    <w:rsid w:val="00D8771C"/>
    <w:rsid w:val="00D87FC6"/>
    <w:rsid w:val="00D90918"/>
    <w:rsid w:val="00D90E76"/>
    <w:rsid w:val="00D91633"/>
    <w:rsid w:val="00D91767"/>
    <w:rsid w:val="00D91858"/>
    <w:rsid w:val="00D918C1"/>
    <w:rsid w:val="00D91969"/>
    <w:rsid w:val="00D91F96"/>
    <w:rsid w:val="00D92142"/>
    <w:rsid w:val="00D92645"/>
    <w:rsid w:val="00D92E99"/>
    <w:rsid w:val="00D9394F"/>
    <w:rsid w:val="00D93AF3"/>
    <w:rsid w:val="00D93F83"/>
    <w:rsid w:val="00D94BE1"/>
    <w:rsid w:val="00D953FD"/>
    <w:rsid w:val="00D9586A"/>
    <w:rsid w:val="00D95AC5"/>
    <w:rsid w:val="00D95E29"/>
    <w:rsid w:val="00D96637"/>
    <w:rsid w:val="00DA00AA"/>
    <w:rsid w:val="00DA018A"/>
    <w:rsid w:val="00DA23FF"/>
    <w:rsid w:val="00DA3190"/>
    <w:rsid w:val="00DA3491"/>
    <w:rsid w:val="00DA4618"/>
    <w:rsid w:val="00DA4717"/>
    <w:rsid w:val="00DA6495"/>
    <w:rsid w:val="00DA67A8"/>
    <w:rsid w:val="00DA6CC7"/>
    <w:rsid w:val="00DA6F0C"/>
    <w:rsid w:val="00DA7031"/>
    <w:rsid w:val="00DA7C00"/>
    <w:rsid w:val="00DB039D"/>
    <w:rsid w:val="00DB11C2"/>
    <w:rsid w:val="00DB1505"/>
    <w:rsid w:val="00DB1594"/>
    <w:rsid w:val="00DB18AE"/>
    <w:rsid w:val="00DB1CF8"/>
    <w:rsid w:val="00DB274A"/>
    <w:rsid w:val="00DB2867"/>
    <w:rsid w:val="00DB2A2C"/>
    <w:rsid w:val="00DB3655"/>
    <w:rsid w:val="00DB376B"/>
    <w:rsid w:val="00DB4544"/>
    <w:rsid w:val="00DB4CE6"/>
    <w:rsid w:val="00DB54AF"/>
    <w:rsid w:val="00DB576E"/>
    <w:rsid w:val="00DB5A2D"/>
    <w:rsid w:val="00DB5ACC"/>
    <w:rsid w:val="00DB62BC"/>
    <w:rsid w:val="00DB640D"/>
    <w:rsid w:val="00DB6818"/>
    <w:rsid w:val="00DB7541"/>
    <w:rsid w:val="00DB75C3"/>
    <w:rsid w:val="00DB78BD"/>
    <w:rsid w:val="00DB7B2F"/>
    <w:rsid w:val="00DB7BB3"/>
    <w:rsid w:val="00DB7F87"/>
    <w:rsid w:val="00DB7FEC"/>
    <w:rsid w:val="00DC05CA"/>
    <w:rsid w:val="00DC06CE"/>
    <w:rsid w:val="00DC1318"/>
    <w:rsid w:val="00DC23AC"/>
    <w:rsid w:val="00DC2902"/>
    <w:rsid w:val="00DC2E18"/>
    <w:rsid w:val="00DC2FF9"/>
    <w:rsid w:val="00DC35A3"/>
    <w:rsid w:val="00DC362B"/>
    <w:rsid w:val="00DC378F"/>
    <w:rsid w:val="00DC3FB2"/>
    <w:rsid w:val="00DC4CD9"/>
    <w:rsid w:val="00DC4D8E"/>
    <w:rsid w:val="00DC521B"/>
    <w:rsid w:val="00DC6093"/>
    <w:rsid w:val="00DC658B"/>
    <w:rsid w:val="00DC693E"/>
    <w:rsid w:val="00DC6ED3"/>
    <w:rsid w:val="00DC74FB"/>
    <w:rsid w:val="00DC7F33"/>
    <w:rsid w:val="00DC7F83"/>
    <w:rsid w:val="00DD06B3"/>
    <w:rsid w:val="00DD0ADE"/>
    <w:rsid w:val="00DD1014"/>
    <w:rsid w:val="00DD10CE"/>
    <w:rsid w:val="00DD191A"/>
    <w:rsid w:val="00DD192A"/>
    <w:rsid w:val="00DD1B7B"/>
    <w:rsid w:val="00DD2423"/>
    <w:rsid w:val="00DD26B9"/>
    <w:rsid w:val="00DD2B4D"/>
    <w:rsid w:val="00DD4010"/>
    <w:rsid w:val="00DD433F"/>
    <w:rsid w:val="00DD49E1"/>
    <w:rsid w:val="00DD5CDE"/>
    <w:rsid w:val="00DD5D96"/>
    <w:rsid w:val="00DD604F"/>
    <w:rsid w:val="00DD6D45"/>
    <w:rsid w:val="00DD751A"/>
    <w:rsid w:val="00DD7798"/>
    <w:rsid w:val="00DD7900"/>
    <w:rsid w:val="00DD7FC3"/>
    <w:rsid w:val="00DE0DD7"/>
    <w:rsid w:val="00DE19FD"/>
    <w:rsid w:val="00DE1B32"/>
    <w:rsid w:val="00DE1CF7"/>
    <w:rsid w:val="00DE2A3A"/>
    <w:rsid w:val="00DE2C7A"/>
    <w:rsid w:val="00DE3332"/>
    <w:rsid w:val="00DE3533"/>
    <w:rsid w:val="00DE387F"/>
    <w:rsid w:val="00DE3FB1"/>
    <w:rsid w:val="00DE4574"/>
    <w:rsid w:val="00DE45B9"/>
    <w:rsid w:val="00DE482C"/>
    <w:rsid w:val="00DE4850"/>
    <w:rsid w:val="00DE518A"/>
    <w:rsid w:val="00DE561D"/>
    <w:rsid w:val="00DE5667"/>
    <w:rsid w:val="00DE5675"/>
    <w:rsid w:val="00DE5CC8"/>
    <w:rsid w:val="00DE67DB"/>
    <w:rsid w:val="00DE69A5"/>
    <w:rsid w:val="00DE6DFA"/>
    <w:rsid w:val="00DE72C3"/>
    <w:rsid w:val="00DE746B"/>
    <w:rsid w:val="00DE779B"/>
    <w:rsid w:val="00DF010F"/>
    <w:rsid w:val="00DF16A0"/>
    <w:rsid w:val="00DF1B16"/>
    <w:rsid w:val="00DF225B"/>
    <w:rsid w:val="00DF25F4"/>
    <w:rsid w:val="00DF3455"/>
    <w:rsid w:val="00DF3882"/>
    <w:rsid w:val="00DF3902"/>
    <w:rsid w:val="00DF3EC1"/>
    <w:rsid w:val="00DF4A33"/>
    <w:rsid w:val="00DF4C48"/>
    <w:rsid w:val="00DF5027"/>
    <w:rsid w:val="00DF59C4"/>
    <w:rsid w:val="00DF621F"/>
    <w:rsid w:val="00DF667F"/>
    <w:rsid w:val="00DF725E"/>
    <w:rsid w:val="00DF7BAF"/>
    <w:rsid w:val="00E00C12"/>
    <w:rsid w:val="00E00E4C"/>
    <w:rsid w:val="00E014D4"/>
    <w:rsid w:val="00E01C9D"/>
    <w:rsid w:val="00E01D42"/>
    <w:rsid w:val="00E023A9"/>
    <w:rsid w:val="00E023B4"/>
    <w:rsid w:val="00E03413"/>
    <w:rsid w:val="00E03DA3"/>
    <w:rsid w:val="00E04058"/>
    <w:rsid w:val="00E04AAC"/>
    <w:rsid w:val="00E058AF"/>
    <w:rsid w:val="00E06612"/>
    <w:rsid w:val="00E06CA2"/>
    <w:rsid w:val="00E07088"/>
    <w:rsid w:val="00E0726A"/>
    <w:rsid w:val="00E0727C"/>
    <w:rsid w:val="00E075FD"/>
    <w:rsid w:val="00E0791E"/>
    <w:rsid w:val="00E07A1E"/>
    <w:rsid w:val="00E1052D"/>
    <w:rsid w:val="00E107F5"/>
    <w:rsid w:val="00E11591"/>
    <w:rsid w:val="00E116BE"/>
    <w:rsid w:val="00E11710"/>
    <w:rsid w:val="00E11A43"/>
    <w:rsid w:val="00E1223B"/>
    <w:rsid w:val="00E12D33"/>
    <w:rsid w:val="00E14431"/>
    <w:rsid w:val="00E150E3"/>
    <w:rsid w:val="00E155B1"/>
    <w:rsid w:val="00E15971"/>
    <w:rsid w:val="00E15B6C"/>
    <w:rsid w:val="00E15F85"/>
    <w:rsid w:val="00E1753D"/>
    <w:rsid w:val="00E17C05"/>
    <w:rsid w:val="00E203A2"/>
    <w:rsid w:val="00E203FB"/>
    <w:rsid w:val="00E20FB4"/>
    <w:rsid w:val="00E21AC3"/>
    <w:rsid w:val="00E221EC"/>
    <w:rsid w:val="00E221F5"/>
    <w:rsid w:val="00E2255A"/>
    <w:rsid w:val="00E22A5D"/>
    <w:rsid w:val="00E22CE9"/>
    <w:rsid w:val="00E23976"/>
    <w:rsid w:val="00E23EA6"/>
    <w:rsid w:val="00E24DAB"/>
    <w:rsid w:val="00E25312"/>
    <w:rsid w:val="00E25364"/>
    <w:rsid w:val="00E25405"/>
    <w:rsid w:val="00E25616"/>
    <w:rsid w:val="00E259EB"/>
    <w:rsid w:val="00E26493"/>
    <w:rsid w:val="00E2654C"/>
    <w:rsid w:val="00E267B7"/>
    <w:rsid w:val="00E269E2"/>
    <w:rsid w:val="00E26FD3"/>
    <w:rsid w:val="00E27162"/>
    <w:rsid w:val="00E275DC"/>
    <w:rsid w:val="00E27ADF"/>
    <w:rsid w:val="00E30097"/>
    <w:rsid w:val="00E30431"/>
    <w:rsid w:val="00E305C6"/>
    <w:rsid w:val="00E31479"/>
    <w:rsid w:val="00E31751"/>
    <w:rsid w:val="00E3198B"/>
    <w:rsid w:val="00E3213E"/>
    <w:rsid w:val="00E328A4"/>
    <w:rsid w:val="00E329E7"/>
    <w:rsid w:val="00E345A0"/>
    <w:rsid w:val="00E345DF"/>
    <w:rsid w:val="00E34D81"/>
    <w:rsid w:val="00E35002"/>
    <w:rsid w:val="00E354C0"/>
    <w:rsid w:val="00E35658"/>
    <w:rsid w:val="00E35686"/>
    <w:rsid w:val="00E3578F"/>
    <w:rsid w:val="00E35A38"/>
    <w:rsid w:val="00E35B2E"/>
    <w:rsid w:val="00E35B3C"/>
    <w:rsid w:val="00E36B04"/>
    <w:rsid w:val="00E37734"/>
    <w:rsid w:val="00E37B5C"/>
    <w:rsid w:val="00E40A52"/>
    <w:rsid w:val="00E41207"/>
    <w:rsid w:val="00E41258"/>
    <w:rsid w:val="00E41775"/>
    <w:rsid w:val="00E42096"/>
    <w:rsid w:val="00E422ED"/>
    <w:rsid w:val="00E4264D"/>
    <w:rsid w:val="00E436FD"/>
    <w:rsid w:val="00E437CA"/>
    <w:rsid w:val="00E439A3"/>
    <w:rsid w:val="00E43B41"/>
    <w:rsid w:val="00E45467"/>
    <w:rsid w:val="00E4549A"/>
    <w:rsid w:val="00E45769"/>
    <w:rsid w:val="00E462F4"/>
    <w:rsid w:val="00E4646A"/>
    <w:rsid w:val="00E465C8"/>
    <w:rsid w:val="00E47410"/>
    <w:rsid w:val="00E506F0"/>
    <w:rsid w:val="00E508E7"/>
    <w:rsid w:val="00E5131F"/>
    <w:rsid w:val="00E5187D"/>
    <w:rsid w:val="00E53486"/>
    <w:rsid w:val="00E53819"/>
    <w:rsid w:val="00E5385E"/>
    <w:rsid w:val="00E53CEA"/>
    <w:rsid w:val="00E54976"/>
    <w:rsid w:val="00E549E1"/>
    <w:rsid w:val="00E54B8F"/>
    <w:rsid w:val="00E54C51"/>
    <w:rsid w:val="00E54CA3"/>
    <w:rsid w:val="00E55E04"/>
    <w:rsid w:val="00E56135"/>
    <w:rsid w:val="00E56339"/>
    <w:rsid w:val="00E56361"/>
    <w:rsid w:val="00E5644A"/>
    <w:rsid w:val="00E566F5"/>
    <w:rsid w:val="00E56993"/>
    <w:rsid w:val="00E60145"/>
    <w:rsid w:val="00E60C06"/>
    <w:rsid w:val="00E60C94"/>
    <w:rsid w:val="00E61142"/>
    <w:rsid w:val="00E61C0C"/>
    <w:rsid w:val="00E61CCF"/>
    <w:rsid w:val="00E61DF5"/>
    <w:rsid w:val="00E61FD3"/>
    <w:rsid w:val="00E62308"/>
    <w:rsid w:val="00E62685"/>
    <w:rsid w:val="00E634D1"/>
    <w:rsid w:val="00E63569"/>
    <w:rsid w:val="00E63770"/>
    <w:rsid w:val="00E6392D"/>
    <w:rsid w:val="00E63AB1"/>
    <w:rsid w:val="00E63C38"/>
    <w:rsid w:val="00E64562"/>
    <w:rsid w:val="00E64B47"/>
    <w:rsid w:val="00E65155"/>
    <w:rsid w:val="00E6518A"/>
    <w:rsid w:val="00E66002"/>
    <w:rsid w:val="00E666B9"/>
    <w:rsid w:val="00E66799"/>
    <w:rsid w:val="00E675C3"/>
    <w:rsid w:val="00E701FE"/>
    <w:rsid w:val="00E707BC"/>
    <w:rsid w:val="00E710D0"/>
    <w:rsid w:val="00E7119E"/>
    <w:rsid w:val="00E71458"/>
    <w:rsid w:val="00E71F2D"/>
    <w:rsid w:val="00E72131"/>
    <w:rsid w:val="00E72380"/>
    <w:rsid w:val="00E724F1"/>
    <w:rsid w:val="00E72F9C"/>
    <w:rsid w:val="00E72FB1"/>
    <w:rsid w:val="00E73106"/>
    <w:rsid w:val="00E73C42"/>
    <w:rsid w:val="00E73DDE"/>
    <w:rsid w:val="00E73E4F"/>
    <w:rsid w:val="00E75007"/>
    <w:rsid w:val="00E76405"/>
    <w:rsid w:val="00E770D0"/>
    <w:rsid w:val="00E773B3"/>
    <w:rsid w:val="00E7751B"/>
    <w:rsid w:val="00E8014C"/>
    <w:rsid w:val="00E80F30"/>
    <w:rsid w:val="00E811E2"/>
    <w:rsid w:val="00E82255"/>
    <w:rsid w:val="00E8231D"/>
    <w:rsid w:val="00E82D8B"/>
    <w:rsid w:val="00E82EB7"/>
    <w:rsid w:val="00E83759"/>
    <w:rsid w:val="00E84174"/>
    <w:rsid w:val="00E84DA4"/>
    <w:rsid w:val="00E874E4"/>
    <w:rsid w:val="00E901A1"/>
    <w:rsid w:val="00E90A56"/>
    <w:rsid w:val="00E91C5E"/>
    <w:rsid w:val="00E92032"/>
    <w:rsid w:val="00E92E1F"/>
    <w:rsid w:val="00E93939"/>
    <w:rsid w:val="00E93F26"/>
    <w:rsid w:val="00E940B0"/>
    <w:rsid w:val="00E94471"/>
    <w:rsid w:val="00E94F34"/>
    <w:rsid w:val="00E953EB"/>
    <w:rsid w:val="00E95533"/>
    <w:rsid w:val="00E959C7"/>
    <w:rsid w:val="00E95E35"/>
    <w:rsid w:val="00E96248"/>
    <w:rsid w:val="00E9647D"/>
    <w:rsid w:val="00E96633"/>
    <w:rsid w:val="00E96791"/>
    <w:rsid w:val="00E968D1"/>
    <w:rsid w:val="00E9695C"/>
    <w:rsid w:val="00E971EC"/>
    <w:rsid w:val="00E979EB"/>
    <w:rsid w:val="00EA0364"/>
    <w:rsid w:val="00EA08AC"/>
    <w:rsid w:val="00EA0CA2"/>
    <w:rsid w:val="00EA1864"/>
    <w:rsid w:val="00EA1B7A"/>
    <w:rsid w:val="00EA209A"/>
    <w:rsid w:val="00EA25E2"/>
    <w:rsid w:val="00EA2862"/>
    <w:rsid w:val="00EA28EB"/>
    <w:rsid w:val="00EA2930"/>
    <w:rsid w:val="00EA33EF"/>
    <w:rsid w:val="00EA3AA2"/>
    <w:rsid w:val="00EA3E77"/>
    <w:rsid w:val="00EA3E85"/>
    <w:rsid w:val="00EA4476"/>
    <w:rsid w:val="00EA4B40"/>
    <w:rsid w:val="00EA4C70"/>
    <w:rsid w:val="00EA4CCA"/>
    <w:rsid w:val="00EA5443"/>
    <w:rsid w:val="00EA554C"/>
    <w:rsid w:val="00EA5C74"/>
    <w:rsid w:val="00EA5D6B"/>
    <w:rsid w:val="00EA6348"/>
    <w:rsid w:val="00EA6783"/>
    <w:rsid w:val="00EA6A9E"/>
    <w:rsid w:val="00EA7266"/>
    <w:rsid w:val="00EB0B49"/>
    <w:rsid w:val="00EB1002"/>
    <w:rsid w:val="00EB18C8"/>
    <w:rsid w:val="00EB1AA3"/>
    <w:rsid w:val="00EB1DE2"/>
    <w:rsid w:val="00EB2249"/>
    <w:rsid w:val="00EB36C5"/>
    <w:rsid w:val="00EB3A5E"/>
    <w:rsid w:val="00EB40CD"/>
    <w:rsid w:val="00EB41E8"/>
    <w:rsid w:val="00EB425C"/>
    <w:rsid w:val="00EB4275"/>
    <w:rsid w:val="00EB4B73"/>
    <w:rsid w:val="00EB56DC"/>
    <w:rsid w:val="00EB5968"/>
    <w:rsid w:val="00EB638D"/>
    <w:rsid w:val="00EB6813"/>
    <w:rsid w:val="00EB6C51"/>
    <w:rsid w:val="00EB79E1"/>
    <w:rsid w:val="00EB7B9F"/>
    <w:rsid w:val="00EC086D"/>
    <w:rsid w:val="00EC0B1B"/>
    <w:rsid w:val="00EC1C35"/>
    <w:rsid w:val="00EC1F97"/>
    <w:rsid w:val="00EC264B"/>
    <w:rsid w:val="00EC32B8"/>
    <w:rsid w:val="00EC364E"/>
    <w:rsid w:val="00EC383C"/>
    <w:rsid w:val="00EC3FBC"/>
    <w:rsid w:val="00EC4393"/>
    <w:rsid w:val="00EC4B6F"/>
    <w:rsid w:val="00EC5563"/>
    <w:rsid w:val="00EC5969"/>
    <w:rsid w:val="00EC5A3F"/>
    <w:rsid w:val="00EC6187"/>
    <w:rsid w:val="00EC6386"/>
    <w:rsid w:val="00EC6C08"/>
    <w:rsid w:val="00EC6E24"/>
    <w:rsid w:val="00EC7274"/>
    <w:rsid w:val="00ED1D8A"/>
    <w:rsid w:val="00ED1E57"/>
    <w:rsid w:val="00ED1EFD"/>
    <w:rsid w:val="00ED22FA"/>
    <w:rsid w:val="00ED29BD"/>
    <w:rsid w:val="00ED2CE1"/>
    <w:rsid w:val="00ED3811"/>
    <w:rsid w:val="00ED4816"/>
    <w:rsid w:val="00ED4C72"/>
    <w:rsid w:val="00ED4D2B"/>
    <w:rsid w:val="00ED58D6"/>
    <w:rsid w:val="00ED5A49"/>
    <w:rsid w:val="00ED5C37"/>
    <w:rsid w:val="00ED5F1D"/>
    <w:rsid w:val="00ED618B"/>
    <w:rsid w:val="00ED6871"/>
    <w:rsid w:val="00ED6B69"/>
    <w:rsid w:val="00ED6E2C"/>
    <w:rsid w:val="00ED7133"/>
    <w:rsid w:val="00ED73A4"/>
    <w:rsid w:val="00ED7940"/>
    <w:rsid w:val="00EE0291"/>
    <w:rsid w:val="00EE059F"/>
    <w:rsid w:val="00EE0CE1"/>
    <w:rsid w:val="00EE0DBC"/>
    <w:rsid w:val="00EE139C"/>
    <w:rsid w:val="00EE143E"/>
    <w:rsid w:val="00EE14EE"/>
    <w:rsid w:val="00EE1800"/>
    <w:rsid w:val="00EE1A55"/>
    <w:rsid w:val="00EE2227"/>
    <w:rsid w:val="00EE2FAB"/>
    <w:rsid w:val="00EE3164"/>
    <w:rsid w:val="00EE345D"/>
    <w:rsid w:val="00EE354C"/>
    <w:rsid w:val="00EE3646"/>
    <w:rsid w:val="00EE3AE5"/>
    <w:rsid w:val="00EE4E65"/>
    <w:rsid w:val="00EE4FAB"/>
    <w:rsid w:val="00EE524D"/>
    <w:rsid w:val="00EE5B9D"/>
    <w:rsid w:val="00EE5BF9"/>
    <w:rsid w:val="00EE6A0A"/>
    <w:rsid w:val="00EE7284"/>
    <w:rsid w:val="00EE7911"/>
    <w:rsid w:val="00EE7963"/>
    <w:rsid w:val="00EE79C6"/>
    <w:rsid w:val="00EE7E68"/>
    <w:rsid w:val="00EF02E7"/>
    <w:rsid w:val="00EF0CF5"/>
    <w:rsid w:val="00EF1282"/>
    <w:rsid w:val="00EF170C"/>
    <w:rsid w:val="00EF263E"/>
    <w:rsid w:val="00EF2769"/>
    <w:rsid w:val="00EF3473"/>
    <w:rsid w:val="00EF3EF3"/>
    <w:rsid w:val="00EF428B"/>
    <w:rsid w:val="00EF4BD3"/>
    <w:rsid w:val="00EF4DD5"/>
    <w:rsid w:val="00EF50A1"/>
    <w:rsid w:val="00EF5466"/>
    <w:rsid w:val="00EF5620"/>
    <w:rsid w:val="00EF5DD3"/>
    <w:rsid w:val="00EF64C3"/>
    <w:rsid w:val="00EF668C"/>
    <w:rsid w:val="00EF6ACF"/>
    <w:rsid w:val="00EF6F94"/>
    <w:rsid w:val="00EF75A1"/>
    <w:rsid w:val="00EF7A9F"/>
    <w:rsid w:val="00EF7B28"/>
    <w:rsid w:val="00EF7F15"/>
    <w:rsid w:val="00F00003"/>
    <w:rsid w:val="00F0024C"/>
    <w:rsid w:val="00F00513"/>
    <w:rsid w:val="00F00B82"/>
    <w:rsid w:val="00F015F0"/>
    <w:rsid w:val="00F01A5D"/>
    <w:rsid w:val="00F01C27"/>
    <w:rsid w:val="00F030FE"/>
    <w:rsid w:val="00F04B4B"/>
    <w:rsid w:val="00F04DB0"/>
    <w:rsid w:val="00F053D8"/>
    <w:rsid w:val="00F054A0"/>
    <w:rsid w:val="00F054AC"/>
    <w:rsid w:val="00F05BF1"/>
    <w:rsid w:val="00F05C59"/>
    <w:rsid w:val="00F05F1E"/>
    <w:rsid w:val="00F05F78"/>
    <w:rsid w:val="00F05F91"/>
    <w:rsid w:val="00F0689C"/>
    <w:rsid w:val="00F068B9"/>
    <w:rsid w:val="00F07515"/>
    <w:rsid w:val="00F079ED"/>
    <w:rsid w:val="00F1026E"/>
    <w:rsid w:val="00F11216"/>
    <w:rsid w:val="00F112F4"/>
    <w:rsid w:val="00F118EA"/>
    <w:rsid w:val="00F119A6"/>
    <w:rsid w:val="00F11E72"/>
    <w:rsid w:val="00F121E8"/>
    <w:rsid w:val="00F13AEE"/>
    <w:rsid w:val="00F1401D"/>
    <w:rsid w:val="00F144E4"/>
    <w:rsid w:val="00F14816"/>
    <w:rsid w:val="00F14C8B"/>
    <w:rsid w:val="00F15073"/>
    <w:rsid w:val="00F150ED"/>
    <w:rsid w:val="00F15E4C"/>
    <w:rsid w:val="00F1716C"/>
    <w:rsid w:val="00F17E33"/>
    <w:rsid w:val="00F21567"/>
    <w:rsid w:val="00F217FB"/>
    <w:rsid w:val="00F21C83"/>
    <w:rsid w:val="00F2229E"/>
    <w:rsid w:val="00F2280C"/>
    <w:rsid w:val="00F2338F"/>
    <w:rsid w:val="00F23BA5"/>
    <w:rsid w:val="00F23FE4"/>
    <w:rsid w:val="00F2471C"/>
    <w:rsid w:val="00F2543E"/>
    <w:rsid w:val="00F263E2"/>
    <w:rsid w:val="00F26AC2"/>
    <w:rsid w:val="00F30C19"/>
    <w:rsid w:val="00F30C4A"/>
    <w:rsid w:val="00F3138A"/>
    <w:rsid w:val="00F317B5"/>
    <w:rsid w:val="00F3242E"/>
    <w:rsid w:val="00F32B04"/>
    <w:rsid w:val="00F333DD"/>
    <w:rsid w:val="00F336BC"/>
    <w:rsid w:val="00F33721"/>
    <w:rsid w:val="00F342AC"/>
    <w:rsid w:val="00F34A92"/>
    <w:rsid w:val="00F34B0A"/>
    <w:rsid w:val="00F35B33"/>
    <w:rsid w:val="00F36225"/>
    <w:rsid w:val="00F368AD"/>
    <w:rsid w:val="00F368C0"/>
    <w:rsid w:val="00F36A74"/>
    <w:rsid w:val="00F36EB4"/>
    <w:rsid w:val="00F3702A"/>
    <w:rsid w:val="00F373B6"/>
    <w:rsid w:val="00F37679"/>
    <w:rsid w:val="00F37943"/>
    <w:rsid w:val="00F37C1D"/>
    <w:rsid w:val="00F4042F"/>
    <w:rsid w:val="00F40814"/>
    <w:rsid w:val="00F40CD1"/>
    <w:rsid w:val="00F40D47"/>
    <w:rsid w:val="00F41ABE"/>
    <w:rsid w:val="00F41FCF"/>
    <w:rsid w:val="00F420A9"/>
    <w:rsid w:val="00F421EC"/>
    <w:rsid w:val="00F42685"/>
    <w:rsid w:val="00F42F94"/>
    <w:rsid w:val="00F42FD3"/>
    <w:rsid w:val="00F43D45"/>
    <w:rsid w:val="00F43E0B"/>
    <w:rsid w:val="00F45027"/>
    <w:rsid w:val="00F453F7"/>
    <w:rsid w:val="00F45879"/>
    <w:rsid w:val="00F45CBA"/>
    <w:rsid w:val="00F46062"/>
    <w:rsid w:val="00F4611E"/>
    <w:rsid w:val="00F466DD"/>
    <w:rsid w:val="00F466F8"/>
    <w:rsid w:val="00F470F2"/>
    <w:rsid w:val="00F47906"/>
    <w:rsid w:val="00F50011"/>
    <w:rsid w:val="00F51744"/>
    <w:rsid w:val="00F5183A"/>
    <w:rsid w:val="00F51967"/>
    <w:rsid w:val="00F51A15"/>
    <w:rsid w:val="00F51EFD"/>
    <w:rsid w:val="00F53442"/>
    <w:rsid w:val="00F53732"/>
    <w:rsid w:val="00F53A00"/>
    <w:rsid w:val="00F5460D"/>
    <w:rsid w:val="00F54758"/>
    <w:rsid w:val="00F55111"/>
    <w:rsid w:val="00F554DD"/>
    <w:rsid w:val="00F55B00"/>
    <w:rsid w:val="00F55BD7"/>
    <w:rsid w:val="00F55F41"/>
    <w:rsid w:val="00F56353"/>
    <w:rsid w:val="00F563AA"/>
    <w:rsid w:val="00F563F8"/>
    <w:rsid w:val="00F56471"/>
    <w:rsid w:val="00F564D7"/>
    <w:rsid w:val="00F567E5"/>
    <w:rsid w:val="00F56B51"/>
    <w:rsid w:val="00F57551"/>
    <w:rsid w:val="00F5787F"/>
    <w:rsid w:val="00F57F92"/>
    <w:rsid w:val="00F603C4"/>
    <w:rsid w:val="00F6053D"/>
    <w:rsid w:val="00F60CE9"/>
    <w:rsid w:val="00F60EB7"/>
    <w:rsid w:val="00F618A2"/>
    <w:rsid w:val="00F61AE0"/>
    <w:rsid w:val="00F6300A"/>
    <w:rsid w:val="00F63DA9"/>
    <w:rsid w:val="00F64941"/>
    <w:rsid w:val="00F64DB0"/>
    <w:rsid w:val="00F66363"/>
    <w:rsid w:val="00F66B29"/>
    <w:rsid w:val="00F6741C"/>
    <w:rsid w:val="00F674A9"/>
    <w:rsid w:val="00F67A5A"/>
    <w:rsid w:val="00F67E34"/>
    <w:rsid w:val="00F67F46"/>
    <w:rsid w:val="00F704C0"/>
    <w:rsid w:val="00F70FF0"/>
    <w:rsid w:val="00F71386"/>
    <w:rsid w:val="00F71B84"/>
    <w:rsid w:val="00F7209D"/>
    <w:rsid w:val="00F722BF"/>
    <w:rsid w:val="00F72958"/>
    <w:rsid w:val="00F7297F"/>
    <w:rsid w:val="00F7392C"/>
    <w:rsid w:val="00F73E00"/>
    <w:rsid w:val="00F73FE8"/>
    <w:rsid w:val="00F74A05"/>
    <w:rsid w:val="00F74C83"/>
    <w:rsid w:val="00F76537"/>
    <w:rsid w:val="00F76987"/>
    <w:rsid w:val="00F82659"/>
    <w:rsid w:val="00F82855"/>
    <w:rsid w:val="00F82FDE"/>
    <w:rsid w:val="00F83088"/>
    <w:rsid w:val="00F83B78"/>
    <w:rsid w:val="00F84FBF"/>
    <w:rsid w:val="00F8531F"/>
    <w:rsid w:val="00F85E84"/>
    <w:rsid w:val="00F87029"/>
    <w:rsid w:val="00F874DE"/>
    <w:rsid w:val="00F87968"/>
    <w:rsid w:val="00F90027"/>
    <w:rsid w:val="00F907EA"/>
    <w:rsid w:val="00F9110D"/>
    <w:rsid w:val="00F91BE2"/>
    <w:rsid w:val="00F91F32"/>
    <w:rsid w:val="00F926FB"/>
    <w:rsid w:val="00F92700"/>
    <w:rsid w:val="00F929BA"/>
    <w:rsid w:val="00F92B04"/>
    <w:rsid w:val="00F92C6B"/>
    <w:rsid w:val="00F92D9D"/>
    <w:rsid w:val="00F92E54"/>
    <w:rsid w:val="00F93731"/>
    <w:rsid w:val="00F94009"/>
    <w:rsid w:val="00F94E74"/>
    <w:rsid w:val="00F95948"/>
    <w:rsid w:val="00F95A3F"/>
    <w:rsid w:val="00F95B08"/>
    <w:rsid w:val="00F96186"/>
    <w:rsid w:val="00F961D5"/>
    <w:rsid w:val="00F965FB"/>
    <w:rsid w:val="00F96648"/>
    <w:rsid w:val="00F96D57"/>
    <w:rsid w:val="00F9702B"/>
    <w:rsid w:val="00F97072"/>
    <w:rsid w:val="00F97A1A"/>
    <w:rsid w:val="00F97AF5"/>
    <w:rsid w:val="00F97CAA"/>
    <w:rsid w:val="00F97CB4"/>
    <w:rsid w:val="00FA02CE"/>
    <w:rsid w:val="00FA09D5"/>
    <w:rsid w:val="00FA0D73"/>
    <w:rsid w:val="00FA25AE"/>
    <w:rsid w:val="00FA3D21"/>
    <w:rsid w:val="00FA555D"/>
    <w:rsid w:val="00FA5B52"/>
    <w:rsid w:val="00FA5DDB"/>
    <w:rsid w:val="00FA78E1"/>
    <w:rsid w:val="00FA7BCA"/>
    <w:rsid w:val="00FA7F0C"/>
    <w:rsid w:val="00FB033C"/>
    <w:rsid w:val="00FB233E"/>
    <w:rsid w:val="00FB2C75"/>
    <w:rsid w:val="00FB332D"/>
    <w:rsid w:val="00FB3480"/>
    <w:rsid w:val="00FB36A1"/>
    <w:rsid w:val="00FB3F46"/>
    <w:rsid w:val="00FB44AE"/>
    <w:rsid w:val="00FB4826"/>
    <w:rsid w:val="00FB48A2"/>
    <w:rsid w:val="00FB5AEC"/>
    <w:rsid w:val="00FB5E6E"/>
    <w:rsid w:val="00FB67C6"/>
    <w:rsid w:val="00FB68CD"/>
    <w:rsid w:val="00FB74A4"/>
    <w:rsid w:val="00FB75EB"/>
    <w:rsid w:val="00FB7728"/>
    <w:rsid w:val="00FB7D66"/>
    <w:rsid w:val="00FB7FD9"/>
    <w:rsid w:val="00FC0BC0"/>
    <w:rsid w:val="00FC0FE7"/>
    <w:rsid w:val="00FC1172"/>
    <w:rsid w:val="00FC1268"/>
    <w:rsid w:val="00FC14BA"/>
    <w:rsid w:val="00FC14E0"/>
    <w:rsid w:val="00FC169C"/>
    <w:rsid w:val="00FC192A"/>
    <w:rsid w:val="00FC1A63"/>
    <w:rsid w:val="00FC2754"/>
    <w:rsid w:val="00FC2C25"/>
    <w:rsid w:val="00FC2CBD"/>
    <w:rsid w:val="00FC311D"/>
    <w:rsid w:val="00FC369A"/>
    <w:rsid w:val="00FC374E"/>
    <w:rsid w:val="00FC3C08"/>
    <w:rsid w:val="00FC4B95"/>
    <w:rsid w:val="00FC4CB5"/>
    <w:rsid w:val="00FC4F88"/>
    <w:rsid w:val="00FC51C9"/>
    <w:rsid w:val="00FC575E"/>
    <w:rsid w:val="00FC5A46"/>
    <w:rsid w:val="00FC66D5"/>
    <w:rsid w:val="00FC6AF5"/>
    <w:rsid w:val="00FC7235"/>
    <w:rsid w:val="00FC726C"/>
    <w:rsid w:val="00FC73AF"/>
    <w:rsid w:val="00FC76F4"/>
    <w:rsid w:val="00FD0682"/>
    <w:rsid w:val="00FD0DBA"/>
    <w:rsid w:val="00FD14D2"/>
    <w:rsid w:val="00FD15D5"/>
    <w:rsid w:val="00FD1BB0"/>
    <w:rsid w:val="00FD207C"/>
    <w:rsid w:val="00FD2820"/>
    <w:rsid w:val="00FD2EC5"/>
    <w:rsid w:val="00FD35A0"/>
    <w:rsid w:val="00FD371F"/>
    <w:rsid w:val="00FD3A9F"/>
    <w:rsid w:val="00FD43C8"/>
    <w:rsid w:val="00FD4884"/>
    <w:rsid w:val="00FD4C2F"/>
    <w:rsid w:val="00FD5A2F"/>
    <w:rsid w:val="00FD5E1F"/>
    <w:rsid w:val="00FD5F54"/>
    <w:rsid w:val="00FD78A2"/>
    <w:rsid w:val="00FE0CF9"/>
    <w:rsid w:val="00FE1977"/>
    <w:rsid w:val="00FE249C"/>
    <w:rsid w:val="00FE2AD2"/>
    <w:rsid w:val="00FE2D0C"/>
    <w:rsid w:val="00FE2DCB"/>
    <w:rsid w:val="00FE337E"/>
    <w:rsid w:val="00FE4025"/>
    <w:rsid w:val="00FE4045"/>
    <w:rsid w:val="00FE42DB"/>
    <w:rsid w:val="00FE47EC"/>
    <w:rsid w:val="00FE49B1"/>
    <w:rsid w:val="00FE5071"/>
    <w:rsid w:val="00FE50FB"/>
    <w:rsid w:val="00FE515A"/>
    <w:rsid w:val="00FE5426"/>
    <w:rsid w:val="00FE56CA"/>
    <w:rsid w:val="00FE5AA2"/>
    <w:rsid w:val="00FE6004"/>
    <w:rsid w:val="00FE64EE"/>
    <w:rsid w:val="00FE65CA"/>
    <w:rsid w:val="00FE6853"/>
    <w:rsid w:val="00FE7506"/>
    <w:rsid w:val="00FE78FC"/>
    <w:rsid w:val="00FE7A24"/>
    <w:rsid w:val="00FE7AB9"/>
    <w:rsid w:val="00FE7EA3"/>
    <w:rsid w:val="00FF08E8"/>
    <w:rsid w:val="00FF1119"/>
    <w:rsid w:val="00FF136B"/>
    <w:rsid w:val="00FF1A92"/>
    <w:rsid w:val="00FF1CF5"/>
    <w:rsid w:val="00FF2775"/>
    <w:rsid w:val="00FF2DC2"/>
    <w:rsid w:val="00FF2EA7"/>
    <w:rsid w:val="00FF3134"/>
    <w:rsid w:val="00FF3490"/>
    <w:rsid w:val="00FF3F27"/>
    <w:rsid w:val="00FF402A"/>
    <w:rsid w:val="00FF43F0"/>
    <w:rsid w:val="00FF4DDB"/>
    <w:rsid w:val="00FF4EB7"/>
    <w:rsid w:val="00FF500C"/>
    <w:rsid w:val="00FF5100"/>
    <w:rsid w:val="00FF56B7"/>
    <w:rsid w:val="00FF5922"/>
    <w:rsid w:val="00FF62FF"/>
    <w:rsid w:val="00FF6B97"/>
    <w:rsid w:val="02F74BB6"/>
    <w:rsid w:val="03F9D7B9"/>
    <w:rsid w:val="044E2E49"/>
    <w:rsid w:val="0453B393"/>
    <w:rsid w:val="05AC4AD3"/>
    <w:rsid w:val="069BFAD3"/>
    <w:rsid w:val="07615CB1"/>
    <w:rsid w:val="0ABBB9D8"/>
    <w:rsid w:val="0B0EEB6F"/>
    <w:rsid w:val="0E4A02FD"/>
    <w:rsid w:val="10841DC5"/>
    <w:rsid w:val="152E1F34"/>
    <w:rsid w:val="1933DB9A"/>
    <w:rsid w:val="1947B77C"/>
    <w:rsid w:val="19CFF999"/>
    <w:rsid w:val="1A7C069B"/>
    <w:rsid w:val="209A9260"/>
    <w:rsid w:val="21C48EF1"/>
    <w:rsid w:val="2559B10F"/>
    <w:rsid w:val="291713E7"/>
    <w:rsid w:val="295F7D0D"/>
    <w:rsid w:val="297EE29C"/>
    <w:rsid w:val="2B4A85AF"/>
    <w:rsid w:val="2D92D076"/>
    <w:rsid w:val="2E24CFA9"/>
    <w:rsid w:val="2F380341"/>
    <w:rsid w:val="2FA5510B"/>
    <w:rsid w:val="3026EB26"/>
    <w:rsid w:val="3BA263EC"/>
    <w:rsid w:val="3E1D65D2"/>
    <w:rsid w:val="413D68E8"/>
    <w:rsid w:val="41CB4F4F"/>
    <w:rsid w:val="426B5ECF"/>
    <w:rsid w:val="427B4221"/>
    <w:rsid w:val="46EF77F5"/>
    <w:rsid w:val="47BF6F57"/>
    <w:rsid w:val="49C15241"/>
    <w:rsid w:val="4A6AB2D4"/>
    <w:rsid w:val="4A906A29"/>
    <w:rsid w:val="4F8EFB34"/>
    <w:rsid w:val="52D02B31"/>
    <w:rsid w:val="537FC5DB"/>
    <w:rsid w:val="5763B8F6"/>
    <w:rsid w:val="57F22865"/>
    <w:rsid w:val="583CF530"/>
    <w:rsid w:val="5978D425"/>
    <w:rsid w:val="5A1AFE2B"/>
    <w:rsid w:val="5C8CFDF4"/>
    <w:rsid w:val="60AA4C3E"/>
    <w:rsid w:val="61001936"/>
    <w:rsid w:val="6117B0F1"/>
    <w:rsid w:val="627F5A7C"/>
    <w:rsid w:val="63AE4879"/>
    <w:rsid w:val="671E31E3"/>
    <w:rsid w:val="68E4A322"/>
    <w:rsid w:val="69E57F9F"/>
    <w:rsid w:val="6A633047"/>
    <w:rsid w:val="6AFE7507"/>
    <w:rsid w:val="6B949665"/>
    <w:rsid w:val="6BCB9126"/>
    <w:rsid w:val="6D3B1834"/>
    <w:rsid w:val="6DD852C2"/>
    <w:rsid w:val="6F2D846A"/>
    <w:rsid w:val="6F86C107"/>
    <w:rsid w:val="6F8C78A0"/>
    <w:rsid w:val="701170C2"/>
    <w:rsid w:val="72BED272"/>
    <w:rsid w:val="72D86FED"/>
    <w:rsid w:val="7348A7AA"/>
    <w:rsid w:val="73DA8E2E"/>
    <w:rsid w:val="75A499DA"/>
    <w:rsid w:val="77352F6A"/>
    <w:rsid w:val="7759FCAD"/>
    <w:rsid w:val="78D32593"/>
    <w:rsid w:val="7AD22D04"/>
    <w:rsid w:val="7CBDF4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3C9CD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700"/>
    <w:pPr>
      <w:spacing w:after="0" w:line="240" w:lineRule="auto"/>
      <w:jc w:val="center"/>
    </w:pPr>
    <w:rPr>
      <w:rFonts w:ascii="Arial" w:eastAsia="Times New Roman" w:hAnsi="Arial" w:cs="Arial"/>
      <w:b/>
      <w:sz w:val="20"/>
      <w:szCs w:val="20"/>
    </w:rPr>
  </w:style>
  <w:style w:type="paragraph" w:styleId="Heading1">
    <w:name w:val="heading 1"/>
    <w:basedOn w:val="Normal"/>
    <w:next w:val="Normal"/>
    <w:link w:val="Heading1Char"/>
    <w:qFormat/>
    <w:rsid w:val="00FF6B97"/>
    <w:pPr>
      <w:keepNext/>
      <w:keepLines/>
      <w:spacing w:before="480"/>
      <w:outlineLvl w:val="0"/>
    </w:pPr>
    <w:rPr>
      <w:rFonts w:asciiTheme="majorHAnsi" w:eastAsiaTheme="majorEastAsia" w:hAnsiTheme="majorHAnsi" w:cstheme="majorBidi"/>
      <w:b w:val="0"/>
      <w:bCs/>
      <w:color w:val="365F91" w:themeColor="accent1" w:themeShade="BF"/>
      <w:sz w:val="28"/>
      <w:szCs w:val="28"/>
    </w:rPr>
  </w:style>
  <w:style w:type="paragraph" w:styleId="Heading2">
    <w:name w:val="heading 2"/>
    <w:basedOn w:val="Normal"/>
    <w:next w:val="Normal"/>
    <w:link w:val="Heading2Char"/>
    <w:uiPriority w:val="9"/>
    <w:unhideWhenUsed/>
    <w:qFormat/>
    <w:rsid w:val="00B02E86"/>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Heading3">
    <w:name w:val="heading 3"/>
    <w:basedOn w:val="Normal"/>
    <w:next w:val="Normal"/>
    <w:link w:val="Heading3Char"/>
    <w:qFormat/>
    <w:rsid w:val="00F92700"/>
    <w:pPr>
      <w:keepNext/>
      <w:spacing w:before="240" w:after="60"/>
      <w:outlineLvl w:val="2"/>
    </w:pPr>
    <w:rPr>
      <w:bCs/>
      <w:sz w:val="26"/>
      <w:szCs w:val="26"/>
    </w:rPr>
  </w:style>
  <w:style w:type="paragraph" w:styleId="Heading4">
    <w:name w:val="heading 4"/>
    <w:basedOn w:val="Normal"/>
    <w:next w:val="Normal"/>
    <w:link w:val="Heading4Char"/>
    <w:uiPriority w:val="9"/>
    <w:unhideWhenUsed/>
    <w:qFormat/>
    <w:rsid w:val="00D9586A"/>
    <w:pPr>
      <w:keepNext/>
      <w:keepLines/>
      <w:spacing w:before="200"/>
      <w:outlineLvl w:val="3"/>
    </w:pPr>
    <w:rPr>
      <w:rFonts w:asciiTheme="majorHAnsi" w:eastAsiaTheme="majorEastAsia" w:hAnsiTheme="majorHAnsi" w:cstheme="majorBidi"/>
      <w:b w:val="0"/>
      <w:bCs/>
      <w:i/>
      <w:iCs/>
      <w:color w:val="4F81BD" w:themeColor="accent1"/>
    </w:rPr>
  </w:style>
  <w:style w:type="paragraph" w:styleId="Heading9">
    <w:name w:val="heading 9"/>
    <w:basedOn w:val="Normal"/>
    <w:next w:val="Normal"/>
    <w:link w:val="Heading9Char"/>
    <w:uiPriority w:val="9"/>
    <w:semiHidden/>
    <w:unhideWhenUsed/>
    <w:qFormat/>
    <w:rsid w:val="00A40E5E"/>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B97"/>
    <w:rPr>
      <w:rFonts w:asciiTheme="majorHAnsi" w:eastAsiaTheme="majorEastAsia" w:hAnsiTheme="majorHAnsi" w:cstheme="majorBidi"/>
      <w:bCs/>
      <w:color w:val="365F91" w:themeColor="accent1" w:themeShade="BF"/>
      <w:sz w:val="28"/>
      <w:szCs w:val="28"/>
    </w:rPr>
  </w:style>
  <w:style w:type="character" w:customStyle="1" w:styleId="Heading2Char">
    <w:name w:val="Heading 2 Char"/>
    <w:basedOn w:val="DefaultParagraphFont"/>
    <w:link w:val="Heading2"/>
    <w:uiPriority w:val="9"/>
    <w:rsid w:val="00B02E86"/>
    <w:rPr>
      <w:rFonts w:asciiTheme="majorHAnsi" w:eastAsiaTheme="majorEastAsia" w:hAnsiTheme="majorHAnsi" w:cstheme="majorBidi"/>
      <w:bCs/>
      <w:color w:val="4F81BD" w:themeColor="accent1"/>
      <w:sz w:val="26"/>
      <w:szCs w:val="26"/>
    </w:rPr>
  </w:style>
  <w:style w:type="character" w:customStyle="1" w:styleId="Heading3Char">
    <w:name w:val="Heading 3 Char"/>
    <w:basedOn w:val="DefaultParagraphFont"/>
    <w:link w:val="Heading3"/>
    <w:rsid w:val="00F92700"/>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D9586A"/>
    <w:rPr>
      <w:rFonts w:asciiTheme="majorHAnsi" w:eastAsiaTheme="majorEastAsia" w:hAnsiTheme="majorHAnsi" w:cstheme="majorBidi"/>
      <w:bCs/>
      <w:i/>
      <w:iCs/>
      <w:color w:val="4F81BD" w:themeColor="accent1"/>
      <w:sz w:val="20"/>
      <w:szCs w:val="20"/>
    </w:rPr>
  </w:style>
  <w:style w:type="character" w:customStyle="1" w:styleId="Heading9Char">
    <w:name w:val="Heading 9 Char"/>
    <w:basedOn w:val="DefaultParagraphFont"/>
    <w:link w:val="Heading9"/>
    <w:uiPriority w:val="9"/>
    <w:semiHidden/>
    <w:rsid w:val="00A40E5E"/>
    <w:rPr>
      <w:rFonts w:asciiTheme="majorHAnsi" w:eastAsiaTheme="majorEastAsia" w:hAnsiTheme="majorHAnsi" w:cstheme="majorBidi"/>
      <w:b/>
      <w:i/>
      <w:iCs/>
      <w:color w:val="404040" w:themeColor="text1" w:themeTint="BF"/>
      <w:sz w:val="20"/>
      <w:szCs w:val="20"/>
    </w:rPr>
  </w:style>
  <w:style w:type="paragraph" w:styleId="BodyTextIndent">
    <w:name w:val="Body Text Indent"/>
    <w:basedOn w:val="Normal"/>
    <w:link w:val="BodyTextIndentChar"/>
    <w:rsid w:val="00F92700"/>
    <w:pPr>
      <w:spacing w:after="120"/>
      <w:ind w:left="360"/>
    </w:pPr>
    <w:rPr>
      <w:b w:val="0"/>
    </w:rPr>
  </w:style>
  <w:style w:type="character" w:customStyle="1" w:styleId="BodyTextIndentChar">
    <w:name w:val="Body Text Indent Char"/>
    <w:basedOn w:val="DefaultParagraphFont"/>
    <w:link w:val="BodyTextIndent"/>
    <w:rsid w:val="00F92700"/>
    <w:rPr>
      <w:rFonts w:ascii="Arial" w:eastAsia="Times New Roman" w:hAnsi="Arial" w:cs="Arial"/>
      <w:b/>
      <w:sz w:val="20"/>
      <w:szCs w:val="20"/>
    </w:rPr>
  </w:style>
  <w:style w:type="paragraph" w:styleId="Title">
    <w:name w:val="Title"/>
    <w:basedOn w:val="Normal"/>
    <w:link w:val="TitleChar"/>
    <w:qFormat/>
    <w:rsid w:val="00F92700"/>
    <w:pPr>
      <w:spacing w:before="240" w:after="60"/>
      <w:outlineLvl w:val="0"/>
    </w:pPr>
    <w:rPr>
      <w:kern w:val="28"/>
      <w:sz w:val="32"/>
    </w:rPr>
  </w:style>
  <w:style w:type="character" w:customStyle="1" w:styleId="TitleChar">
    <w:name w:val="Title Char"/>
    <w:basedOn w:val="DefaultParagraphFont"/>
    <w:link w:val="Title"/>
    <w:rsid w:val="00F92700"/>
    <w:rPr>
      <w:rFonts w:ascii="Arial" w:eastAsia="Times New Roman" w:hAnsi="Arial" w:cs="Arial"/>
      <w:b/>
      <w:kern w:val="28"/>
      <w:sz w:val="32"/>
      <w:szCs w:val="20"/>
    </w:rPr>
  </w:style>
  <w:style w:type="paragraph" w:styleId="Header">
    <w:name w:val="header"/>
    <w:basedOn w:val="Normal"/>
    <w:link w:val="HeaderChar"/>
    <w:uiPriority w:val="99"/>
    <w:unhideWhenUsed/>
    <w:rsid w:val="00F92700"/>
    <w:pPr>
      <w:tabs>
        <w:tab w:val="center" w:pos="4680"/>
        <w:tab w:val="right" w:pos="9360"/>
      </w:tabs>
    </w:pPr>
  </w:style>
  <w:style w:type="character" w:customStyle="1" w:styleId="HeaderChar">
    <w:name w:val="Header Char"/>
    <w:basedOn w:val="DefaultParagraphFont"/>
    <w:link w:val="Header"/>
    <w:uiPriority w:val="99"/>
    <w:rsid w:val="00F92700"/>
    <w:rPr>
      <w:rFonts w:ascii="Arial" w:eastAsia="Times New Roman" w:hAnsi="Arial" w:cs="Arial"/>
      <w:b/>
      <w:sz w:val="20"/>
      <w:szCs w:val="20"/>
    </w:rPr>
  </w:style>
  <w:style w:type="paragraph" w:styleId="Footer">
    <w:name w:val="footer"/>
    <w:basedOn w:val="Normal"/>
    <w:link w:val="FooterChar"/>
    <w:uiPriority w:val="99"/>
    <w:unhideWhenUsed/>
    <w:rsid w:val="00F92700"/>
    <w:pPr>
      <w:tabs>
        <w:tab w:val="center" w:pos="4680"/>
        <w:tab w:val="right" w:pos="9360"/>
      </w:tabs>
    </w:pPr>
  </w:style>
  <w:style w:type="character" w:customStyle="1" w:styleId="FooterChar">
    <w:name w:val="Footer Char"/>
    <w:basedOn w:val="DefaultParagraphFont"/>
    <w:link w:val="Footer"/>
    <w:uiPriority w:val="99"/>
    <w:rsid w:val="00F92700"/>
    <w:rPr>
      <w:rFonts w:ascii="Arial" w:eastAsia="Times New Roman" w:hAnsi="Arial" w:cs="Arial"/>
      <w:b/>
      <w:sz w:val="20"/>
      <w:szCs w:val="20"/>
    </w:rPr>
  </w:style>
  <w:style w:type="paragraph" w:styleId="BalloonText">
    <w:name w:val="Balloon Text"/>
    <w:basedOn w:val="Normal"/>
    <w:link w:val="BalloonTextChar"/>
    <w:uiPriority w:val="99"/>
    <w:semiHidden/>
    <w:unhideWhenUsed/>
    <w:rsid w:val="00F92700"/>
    <w:rPr>
      <w:rFonts w:ascii="Tahoma" w:hAnsi="Tahoma" w:cs="Tahoma"/>
      <w:sz w:val="16"/>
      <w:szCs w:val="16"/>
    </w:rPr>
  </w:style>
  <w:style w:type="character" w:customStyle="1" w:styleId="BalloonTextChar">
    <w:name w:val="Balloon Text Char"/>
    <w:basedOn w:val="DefaultParagraphFont"/>
    <w:link w:val="BalloonText"/>
    <w:uiPriority w:val="99"/>
    <w:semiHidden/>
    <w:rsid w:val="00F92700"/>
    <w:rPr>
      <w:rFonts w:ascii="Tahoma" w:eastAsia="Times New Roman" w:hAnsi="Tahoma" w:cs="Tahoma"/>
      <w:b/>
      <w:sz w:val="16"/>
      <w:szCs w:val="16"/>
    </w:rPr>
  </w:style>
  <w:style w:type="paragraph" w:styleId="BodyText">
    <w:name w:val="Body Text"/>
    <w:basedOn w:val="Normal"/>
    <w:link w:val="BodyTextChar"/>
    <w:unhideWhenUsed/>
    <w:rsid w:val="008E1CE2"/>
    <w:pPr>
      <w:spacing w:after="120"/>
    </w:pPr>
  </w:style>
  <w:style w:type="character" w:customStyle="1" w:styleId="BodyTextChar">
    <w:name w:val="Body Text Char"/>
    <w:basedOn w:val="DefaultParagraphFont"/>
    <w:link w:val="BodyText"/>
    <w:rsid w:val="008E1CE2"/>
    <w:rPr>
      <w:rFonts w:ascii="Arial" w:eastAsia="Times New Roman" w:hAnsi="Arial" w:cs="Arial"/>
      <w:b/>
      <w:sz w:val="20"/>
      <w:szCs w:val="20"/>
    </w:rPr>
  </w:style>
  <w:style w:type="paragraph" w:styleId="TOC1">
    <w:name w:val="toc 1"/>
    <w:basedOn w:val="Normal"/>
    <w:next w:val="Normal"/>
    <w:autoRedefine/>
    <w:uiPriority w:val="39"/>
    <w:rsid w:val="00C7695C"/>
    <w:pPr>
      <w:tabs>
        <w:tab w:val="left" w:pos="450"/>
        <w:tab w:val="right" w:leader="dot" w:pos="9163"/>
      </w:tabs>
      <w:spacing w:before="120" w:after="120"/>
      <w:ind w:left="720" w:hanging="720"/>
      <w:jc w:val="left"/>
    </w:pPr>
    <w:rPr>
      <w:b w:val="0"/>
      <w:bCs/>
      <w:caps/>
      <w:noProof/>
      <w:sz w:val="24"/>
    </w:rPr>
  </w:style>
  <w:style w:type="paragraph" w:styleId="TOC2">
    <w:name w:val="toc 2"/>
    <w:basedOn w:val="Normal"/>
    <w:next w:val="Normal"/>
    <w:autoRedefine/>
    <w:uiPriority w:val="39"/>
    <w:unhideWhenUsed/>
    <w:rsid w:val="009A2643"/>
    <w:pPr>
      <w:tabs>
        <w:tab w:val="right" w:leader="dot" w:pos="9163"/>
      </w:tabs>
      <w:spacing w:after="100"/>
      <w:ind w:left="200"/>
    </w:pPr>
  </w:style>
  <w:style w:type="paragraph" w:styleId="TOC3">
    <w:name w:val="toc 3"/>
    <w:basedOn w:val="Normal"/>
    <w:next w:val="Normal"/>
    <w:autoRedefine/>
    <w:uiPriority w:val="39"/>
    <w:unhideWhenUsed/>
    <w:rsid w:val="00270159"/>
    <w:pPr>
      <w:spacing w:after="100"/>
      <w:ind w:left="400"/>
      <w:jc w:val="left"/>
    </w:pPr>
  </w:style>
  <w:style w:type="paragraph" w:customStyle="1" w:styleId="Title2">
    <w:name w:val="Title 2"/>
    <w:basedOn w:val="Normal"/>
    <w:next w:val="Normal"/>
    <w:rsid w:val="00816787"/>
    <w:pPr>
      <w:tabs>
        <w:tab w:val="left" w:pos="600"/>
        <w:tab w:val="right" w:leader="dot" w:pos="9163"/>
      </w:tabs>
      <w:spacing w:before="120" w:after="120"/>
      <w:ind w:left="630" w:hanging="630"/>
      <w:jc w:val="left"/>
    </w:pPr>
    <w:rPr>
      <w:bCs/>
      <w:caps/>
      <w:noProof/>
      <w:sz w:val="32"/>
      <w:szCs w:val="32"/>
    </w:rPr>
  </w:style>
  <w:style w:type="character" w:styleId="Hyperlink">
    <w:name w:val="Hyperlink"/>
    <w:basedOn w:val="DefaultParagraphFont"/>
    <w:uiPriority w:val="99"/>
    <w:rsid w:val="00816787"/>
    <w:rPr>
      <w:color w:val="0000FF"/>
      <w:u w:val="single"/>
    </w:rPr>
  </w:style>
  <w:style w:type="paragraph" w:styleId="TOCHeading">
    <w:name w:val="TOC Heading"/>
    <w:basedOn w:val="Heading1"/>
    <w:next w:val="Normal"/>
    <w:uiPriority w:val="39"/>
    <w:semiHidden/>
    <w:unhideWhenUsed/>
    <w:qFormat/>
    <w:rsid w:val="00082868"/>
    <w:pPr>
      <w:spacing w:line="276" w:lineRule="auto"/>
      <w:jc w:val="left"/>
      <w:outlineLvl w:val="9"/>
    </w:pPr>
    <w:rPr>
      <w:b/>
      <w:lang w:eastAsia="ja-JP"/>
    </w:rPr>
  </w:style>
  <w:style w:type="paragraph" w:styleId="BodyText2">
    <w:name w:val="Body Text 2"/>
    <w:basedOn w:val="Normal"/>
    <w:link w:val="BodyText2Char"/>
    <w:uiPriority w:val="99"/>
    <w:unhideWhenUsed/>
    <w:rsid w:val="00D5588E"/>
    <w:pPr>
      <w:spacing w:after="120" w:line="480" w:lineRule="auto"/>
    </w:pPr>
  </w:style>
  <w:style w:type="character" w:customStyle="1" w:styleId="BodyText2Char">
    <w:name w:val="Body Text 2 Char"/>
    <w:basedOn w:val="DefaultParagraphFont"/>
    <w:link w:val="BodyText2"/>
    <w:uiPriority w:val="99"/>
    <w:rsid w:val="00D5588E"/>
    <w:rPr>
      <w:rFonts w:ascii="Arial" w:eastAsia="Times New Roman" w:hAnsi="Arial" w:cs="Arial"/>
      <w:b/>
      <w:sz w:val="20"/>
      <w:szCs w:val="20"/>
    </w:rPr>
  </w:style>
  <w:style w:type="paragraph" w:styleId="ListBullet4">
    <w:name w:val="List Bullet 4"/>
    <w:basedOn w:val="Normal"/>
    <w:autoRedefine/>
    <w:rsid w:val="00F97CB4"/>
    <w:pPr>
      <w:jc w:val="both"/>
    </w:pPr>
    <w:rPr>
      <w:b w:val="0"/>
    </w:rPr>
  </w:style>
  <w:style w:type="paragraph" w:styleId="DocumentMap">
    <w:name w:val="Document Map"/>
    <w:basedOn w:val="Normal"/>
    <w:link w:val="DocumentMapChar"/>
    <w:semiHidden/>
    <w:rsid w:val="006B261E"/>
    <w:pPr>
      <w:shd w:val="clear" w:color="auto" w:fill="000080"/>
    </w:pPr>
    <w:rPr>
      <w:rFonts w:ascii="Tahoma" w:hAnsi="Tahoma"/>
      <w:b w:val="0"/>
    </w:rPr>
  </w:style>
  <w:style w:type="character" w:customStyle="1" w:styleId="DocumentMapChar">
    <w:name w:val="Document Map Char"/>
    <w:basedOn w:val="DefaultParagraphFont"/>
    <w:link w:val="DocumentMap"/>
    <w:semiHidden/>
    <w:rsid w:val="006B261E"/>
    <w:rPr>
      <w:rFonts w:ascii="Tahoma" w:eastAsia="Times New Roman" w:hAnsi="Tahoma" w:cs="Arial"/>
      <w:sz w:val="20"/>
      <w:szCs w:val="20"/>
      <w:shd w:val="clear" w:color="auto" w:fill="000080"/>
    </w:rPr>
  </w:style>
  <w:style w:type="character" w:styleId="PageNumber">
    <w:name w:val="page number"/>
    <w:basedOn w:val="DefaultParagraphFont"/>
    <w:rsid w:val="00CA3008"/>
    <w:rPr>
      <w:rFonts w:ascii="Arial" w:hAnsi="Arial"/>
    </w:rPr>
  </w:style>
  <w:style w:type="paragraph" w:styleId="FootnoteText">
    <w:name w:val="footnote text"/>
    <w:basedOn w:val="Normal"/>
    <w:link w:val="FootnoteTextChar"/>
    <w:uiPriority w:val="99"/>
    <w:rsid w:val="00A40E5E"/>
    <w:rPr>
      <w:rFonts w:ascii="Courier" w:hAnsi="Courier"/>
      <w:b w:val="0"/>
    </w:rPr>
  </w:style>
  <w:style w:type="character" w:customStyle="1" w:styleId="FootnoteTextChar">
    <w:name w:val="Footnote Text Char"/>
    <w:basedOn w:val="DefaultParagraphFont"/>
    <w:link w:val="FootnoteText"/>
    <w:uiPriority w:val="99"/>
    <w:rsid w:val="00A40E5E"/>
    <w:rPr>
      <w:rFonts w:ascii="Courier" w:eastAsia="Times New Roman" w:hAnsi="Courier" w:cs="Arial"/>
      <w:sz w:val="20"/>
      <w:szCs w:val="20"/>
    </w:rPr>
  </w:style>
  <w:style w:type="paragraph" w:styleId="List2">
    <w:name w:val="List 2"/>
    <w:basedOn w:val="Normal"/>
    <w:rsid w:val="00A40E5E"/>
    <w:pPr>
      <w:ind w:left="720" w:hanging="360"/>
    </w:pPr>
  </w:style>
  <w:style w:type="paragraph" w:customStyle="1" w:styleId="Heading4Red">
    <w:name w:val="Heading 4 + Red"/>
    <w:basedOn w:val="Heading2"/>
    <w:rsid w:val="00A40E5E"/>
    <w:pPr>
      <w:keepNext w:val="0"/>
      <w:keepLines w:val="0"/>
      <w:spacing w:before="120"/>
    </w:pPr>
    <w:rPr>
      <w:rFonts w:ascii="Arial" w:eastAsia="Times New Roman" w:hAnsi="Arial" w:cs="Arial"/>
      <w:b/>
      <w:color w:val="FF0000"/>
      <w:sz w:val="20"/>
      <w:szCs w:val="24"/>
    </w:rPr>
  </w:style>
  <w:style w:type="paragraph" w:styleId="TOC4">
    <w:name w:val="toc 4"/>
    <w:basedOn w:val="Normal"/>
    <w:next w:val="Normal"/>
    <w:autoRedefine/>
    <w:uiPriority w:val="39"/>
    <w:unhideWhenUsed/>
    <w:rsid w:val="001E6532"/>
    <w:pPr>
      <w:spacing w:after="100" w:line="276" w:lineRule="auto"/>
      <w:ind w:left="660"/>
      <w:jc w:val="left"/>
    </w:pPr>
    <w:rPr>
      <w:rFonts w:asciiTheme="minorHAnsi" w:eastAsiaTheme="minorEastAsia" w:hAnsiTheme="minorHAnsi" w:cstheme="minorBidi"/>
      <w:b w:val="0"/>
      <w:sz w:val="22"/>
      <w:szCs w:val="22"/>
    </w:rPr>
  </w:style>
  <w:style w:type="paragraph" w:styleId="TOC5">
    <w:name w:val="toc 5"/>
    <w:basedOn w:val="Normal"/>
    <w:next w:val="Normal"/>
    <w:autoRedefine/>
    <w:uiPriority w:val="39"/>
    <w:unhideWhenUsed/>
    <w:rsid w:val="001E6532"/>
    <w:pPr>
      <w:spacing w:after="100" w:line="276" w:lineRule="auto"/>
      <w:ind w:left="880"/>
      <w:jc w:val="left"/>
    </w:pPr>
    <w:rPr>
      <w:rFonts w:asciiTheme="minorHAnsi" w:eastAsiaTheme="minorEastAsia" w:hAnsiTheme="minorHAnsi" w:cstheme="minorBidi"/>
      <w:b w:val="0"/>
      <w:sz w:val="22"/>
      <w:szCs w:val="22"/>
    </w:rPr>
  </w:style>
  <w:style w:type="paragraph" w:styleId="TOC6">
    <w:name w:val="toc 6"/>
    <w:basedOn w:val="Normal"/>
    <w:next w:val="Normal"/>
    <w:autoRedefine/>
    <w:uiPriority w:val="39"/>
    <w:unhideWhenUsed/>
    <w:rsid w:val="001E6532"/>
    <w:pPr>
      <w:spacing w:after="100" w:line="276" w:lineRule="auto"/>
      <w:ind w:left="1100"/>
      <w:jc w:val="left"/>
    </w:pPr>
    <w:rPr>
      <w:rFonts w:asciiTheme="minorHAnsi" w:eastAsiaTheme="minorEastAsia" w:hAnsiTheme="minorHAnsi" w:cstheme="minorBidi"/>
      <w:b w:val="0"/>
      <w:sz w:val="22"/>
      <w:szCs w:val="22"/>
    </w:rPr>
  </w:style>
  <w:style w:type="paragraph" w:styleId="TOC7">
    <w:name w:val="toc 7"/>
    <w:basedOn w:val="Normal"/>
    <w:next w:val="Normal"/>
    <w:autoRedefine/>
    <w:uiPriority w:val="39"/>
    <w:unhideWhenUsed/>
    <w:rsid w:val="001E6532"/>
    <w:pPr>
      <w:spacing w:after="100" w:line="276" w:lineRule="auto"/>
      <w:ind w:left="1320"/>
      <w:jc w:val="left"/>
    </w:pPr>
    <w:rPr>
      <w:rFonts w:asciiTheme="minorHAnsi" w:eastAsiaTheme="minorEastAsia" w:hAnsiTheme="minorHAnsi" w:cstheme="minorBidi"/>
      <w:b w:val="0"/>
      <w:sz w:val="22"/>
      <w:szCs w:val="22"/>
    </w:rPr>
  </w:style>
  <w:style w:type="paragraph" w:styleId="TOC8">
    <w:name w:val="toc 8"/>
    <w:basedOn w:val="Normal"/>
    <w:next w:val="Normal"/>
    <w:autoRedefine/>
    <w:uiPriority w:val="39"/>
    <w:unhideWhenUsed/>
    <w:rsid w:val="001E6532"/>
    <w:pPr>
      <w:spacing w:after="100" w:line="276" w:lineRule="auto"/>
      <w:ind w:left="1540"/>
      <w:jc w:val="left"/>
    </w:pPr>
    <w:rPr>
      <w:rFonts w:asciiTheme="minorHAnsi" w:eastAsiaTheme="minorEastAsia" w:hAnsiTheme="minorHAnsi" w:cstheme="minorBidi"/>
      <w:b w:val="0"/>
      <w:sz w:val="22"/>
      <w:szCs w:val="22"/>
    </w:rPr>
  </w:style>
  <w:style w:type="paragraph" w:styleId="TOC9">
    <w:name w:val="toc 9"/>
    <w:basedOn w:val="Normal"/>
    <w:next w:val="Normal"/>
    <w:autoRedefine/>
    <w:uiPriority w:val="39"/>
    <w:unhideWhenUsed/>
    <w:rsid w:val="001E6532"/>
    <w:pPr>
      <w:spacing w:after="100" w:line="276" w:lineRule="auto"/>
      <w:ind w:left="1760"/>
      <w:jc w:val="left"/>
    </w:pPr>
    <w:rPr>
      <w:rFonts w:asciiTheme="minorHAnsi" w:eastAsiaTheme="minorEastAsia" w:hAnsiTheme="minorHAnsi" w:cstheme="minorBidi"/>
      <w:b w:val="0"/>
      <w:sz w:val="22"/>
      <w:szCs w:val="22"/>
    </w:rPr>
  </w:style>
  <w:style w:type="character" w:styleId="CommentReference">
    <w:name w:val="annotation reference"/>
    <w:basedOn w:val="DefaultParagraphFont"/>
    <w:semiHidden/>
    <w:unhideWhenUsed/>
    <w:rsid w:val="005F0D9E"/>
    <w:rPr>
      <w:sz w:val="16"/>
      <w:szCs w:val="16"/>
    </w:rPr>
  </w:style>
  <w:style w:type="paragraph" w:styleId="CommentText">
    <w:name w:val="annotation text"/>
    <w:basedOn w:val="Normal"/>
    <w:link w:val="CommentTextChar"/>
    <w:uiPriority w:val="99"/>
    <w:unhideWhenUsed/>
    <w:rsid w:val="005F0D9E"/>
  </w:style>
  <w:style w:type="character" w:customStyle="1" w:styleId="CommentTextChar">
    <w:name w:val="Comment Text Char"/>
    <w:basedOn w:val="DefaultParagraphFont"/>
    <w:link w:val="CommentText"/>
    <w:uiPriority w:val="99"/>
    <w:rsid w:val="005F0D9E"/>
    <w:rPr>
      <w:rFonts w:ascii="Arial" w:eastAsia="Times New Roman" w:hAnsi="Arial" w:cs="Arial"/>
      <w:b/>
      <w:sz w:val="20"/>
      <w:szCs w:val="20"/>
    </w:rPr>
  </w:style>
  <w:style w:type="paragraph" w:styleId="CommentSubject">
    <w:name w:val="annotation subject"/>
    <w:basedOn w:val="CommentText"/>
    <w:next w:val="CommentText"/>
    <w:link w:val="CommentSubjectChar"/>
    <w:uiPriority w:val="99"/>
    <w:semiHidden/>
    <w:unhideWhenUsed/>
    <w:rsid w:val="005F0D9E"/>
    <w:rPr>
      <w:bCs/>
    </w:rPr>
  </w:style>
  <w:style w:type="character" w:customStyle="1" w:styleId="CommentSubjectChar">
    <w:name w:val="Comment Subject Char"/>
    <w:basedOn w:val="CommentTextChar"/>
    <w:link w:val="CommentSubject"/>
    <w:uiPriority w:val="99"/>
    <w:semiHidden/>
    <w:rsid w:val="005F0D9E"/>
    <w:rPr>
      <w:rFonts w:ascii="Arial" w:eastAsia="Times New Roman" w:hAnsi="Arial" w:cs="Arial"/>
      <w:b/>
      <w:bCs/>
      <w:sz w:val="20"/>
      <w:szCs w:val="20"/>
    </w:rPr>
  </w:style>
  <w:style w:type="paragraph" w:customStyle="1" w:styleId="ReportData">
    <w:name w:val="Report Data"/>
    <w:basedOn w:val="Normal"/>
    <w:rsid w:val="001D33F8"/>
    <w:pPr>
      <w:jc w:val="left"/>
    </w:pPr>
    <w:rPr>
      <w:rFonts w:ascii="Tahoma" w:hAnsi="Tahoma" w:cs="Times New Roman"/>
      <w:b w:val="0"/>
      <w:color w:val="003E74"/>
      <w:szCs w:val="24"/>
    </w:rPr>
  </w:style>
  <w:style w:type="character" w:styleId="Strong">
    <w:name w:val="Strong"/>
    <w:basedOn w:val="DefaultParagraphFont"/>
    <w:uiPriority w:val="22"/>
    <w:qFormat/>
    <w:rsid w:val="00860603"/>
    <w:rPr>
      <w:b/>
      <w:bCs/>
    </w:rPr>
  </w:style>
  <w:style w:type="character" w:styleId="UnresolvedMention">
    <w:name w:val="Unresolved Mention"/>
    <w:basedOn w:val="DefaultParagraphFont"/>
    <w:uiPriority w:val="99"/>
    <w:semiHidden/>
    <w:unhideWhenUsed/>
    <w:rsid w:val="008D0BFF"/>
    <w:rPr>
      <w:color w:val="808080"/>
      <w:shd w:val="clear" w:color="auto" w:fill="E6E6E6"/>
    </w:rPr>
  </w:style>
  <w:style w:type="paragraph" w:styleId="Revision">
    <w:name w:val="Revision"/>
    <w:hidden/>
    <w:uiPriority w:val="99"/>
    <w:semiHidden/>
    <w:rsid w:val="00FB7FD9"/>
    <w:pPr>
      <w:spacing w:after="0" w:line="240" w:lineRule="auto"/>
    </w:pPr>
    <w:rPr>
      <w:rFonts w:ascii="Arial" w:eastAsia="Times New Roman" w:hAnsi="Arial" w:cs="Arial"/>
      <w:b/>
      <w:sz w:val="20"/>
      <w:szCs w:val="20"/>
    </w:rPr>
  </w:style>
  <w:style w:type="character" w:styleId="FootnoteReference">
    <w:name w:val="footnote reference"/>
    <w:basedOn w:val="DefaultParagraphFont"/>
    <w:uiPriority w:val="99"/>
    <w:semiHidden/>
    <w:unhideWhenUsed/>
    <w:rsid w:val="00931022"/>
    <w:rPr>
      <w:vertAlign w:val="superscript"/>
    </w:rPr>
  </w:style>
  <w:style w:type="table" w:styleId="TableGrid">
    <w:name w:val="Table Grid"/>
    <w:basedOn w:val="TableNormal"/>
    <w:uiPriority w:val="39"/>
    <w:rsid w:val="00F74C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74C83"/>
    <w:pPr>
      <w:spacing w:after="160" w:line="259" w:lineRule="auto"/>
      <w:ind w:left="720"/>
      <w:contextualSpacing/>
      <w:jc w:val="left"/>
    </w:pPr>
    <w:rPr>
      <w:rFonts w:asciiTheme="minorHAnsi" w:eastAsiaTheme="minorHAnsi" w:hAnsiTheme="minorHAnsi" w:cstheme="minorBidi"/>
      <w:b w:val="0"/>
      <w:sz w:val="22"/>
      <w:szCs w:val="22"/>
    </w:rPr>
  </w:style>
  <w:style w:type="paragraph" w:styleId="Caption">
    <w:name w:val="caption"/>
    <w:basedOn w:val="Normal"/>
    <w:next w:val="Normal"/>
    <w:link w:val="CaptionChar"/>
    <w:uiPriority w:val="35"/>
    <w:unhideWhenUsed/>
    <w:qFormat/>
    <w:rsid w:val="006A2219"/>
    <w:pPr>
      <w:spacing w:after="200"/>
      <w:jc w:val="both"/>
    </w:pPr>
    <w:rPr>
      <w:rFonts w:asciiTheme="majorHAnsi" w:hAnsiTheme="majorHAnsi" w:cs="Times New Roman"/>
      <w:b w:val="0"/>
      <w:i/>
      <w:iCs/>
      <w:color w:val="1F497D" w:themeColor="text2"/>
      <w:sz w:val="18"/>
      <w:szCs w:val="18"/>
    </w:rPr>
  </w:style>
  <w:style w:type="character" w:customStyle="1" w:styleId="CaptionChar">
    <w:name w:val="Caption Char"/>
    <w:basedOn w:val="DefaultParagraphFont"/>
    <w:link w:val="Caption"/>
    <w:uiPriority w:val="35"/>
    <w:rsid w:val="006A2219"/>
    <w:rPr>
      <w:rFonts w:asciiTheme="majorHAnsi" w:eastAsia="Times New Roman" w:hAnsiTheme="majorHAnsi" w:cs="Times New Roman"/>
      <w:i/>
      <w:iCs/>
      <w:color w:val="1F497D" w:themeColor="text2"/>
      <w:sz w:val="18"/>
      <w:szCs w:val="18"/>
    </w:rPr>
  </w:style>
  <w:style w:type="character" w:customStyle="1" w:styleId="cf01">
    <w:name w:val="cf01"/>
    <w:basedOn w:val="DefaultParagraphFont"/>
    <w:rsid w:val="004056A0"/>
    <w:rPr>
      <w:rFonts w:ascii="Segoe UI" w:hAnsi="Segoe UI" w:cs="Segoe UI" w:hint="default"/>
      <w:sz w:val="18"/>
      <w:szCs w:val="18"/>
    </w:rPr>
  </w:style>
  <w:style w:type="character" w:styleId="Mention">
    <w:name w:val="Mention"/>
    <w:basedOn w:val="DefaultParagraphFont"/>
    <w:uiPriority w:val="99"/>
    <w:unhideWhenUsed/>
    <w:rsid w:val="00E6392D"/>
    <w:rPr>
      <w:color w:val="2B579A"/>
      <w:shd w:val="clear" w:color="auto" w:fill="E1DFDD"/>
    </w:rPr>
  </w:style>
  <w:style w:type="paragraph" w:styleId="ListBullet">
    <w:name w:val="List Bullet"/>
    <w:basedOn w:val="Normal"/>
    <w:uiPriority w:val="99"/>
    <w:semiHidden/>
    <w:unhideWhenUsed/>
    <w:rsid w:val="0000770B"/>
    <w:pPr>
      <w:numPr>
        <w:numId w:val="21"/>
      </w:numPr>
      <w:contextualSpacing/>
    </w:pPr>
  </w:style>
  <w:style w:type="character" w:styleId="FollowedHyperlink">
    <w:name w:val="FollowedHyperlink"/>
    <w:basedOn w:val="DefaultParagraphFont"/>
    <w:uiPriority w:val="99"/>
    <w:semiHidden/>
    <w:unhideWhenUsed/>
    <w:rsid w:val="004F02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78232">
      <w:bodyDiv w:val="1"/>
      <w:marLeft w:val="0"/>
      <w:marRight w:val="0"/>
      <w:marTop w:val="0"/>
      <w:marBottom w:val="0"/>
      <w:divBdr>
        <w:top w:val="none" w:sz="0" w:space="0" w:color="auto"/>
        <w:left w:val="none" w:sz="0" w:space="0" w:color="auto"/>
        <w:bottom w:val="none" w:sz="0" w:space="0" w:color="auto"/>
        <w:right w:val="none" w:sz="0" w:space="0" w:color="auto"/>
      </w:divBdr>
    </w:div>
    <w:div w:id="225338462">
      <w:bodyDiv w:val="1"/>
      <w:marLeft w:val="0"/>
      <w:marRight w:val="0"/>
      <w:marTop w:val="0"/>
      <w:marBottom w:val="0"/>
      <w:divBdr>
        <w:top w:val="none" w:sz="0" w:space="0" w:color="auto"/>
        <w:left w:val="none" w:sz="0" w:space="0" w:color="auto"/>
        <w:bottom w:val="none" w:sz="0" w:space="0" w:color="auto"/>
        <w:right w:val="none" w:sz="0" w:space="0" w:color="auto"/>
      </w:divBdr>
    </w:div>
    <w:div w:id="275212002">
      <w:bodyDiv w:val="1"/>
      <w:marLeft w:val="0"/>
      <w:marRight w:val="0"/>
      <w:marTop w:val="0"/>
      <w:marBottom w:val="0"/>
      <w:divBdr>
        <w:top w:val="none" w:sz="0" w:space="0" w:color="auto"/>
        <w:left w:val="none" w:sz="0" w:space="0" w:color="auto"/>
        <w:bottom w:val="none" w:sz="0" w:space="0" w:color="auto"/>
        <w:right w:val="none" w:sz="0" w:space="0" w:color="auto"/>
      </w:divBdr>
    </w:div>
    <w:div w:id="278099987">
      <w:bodyDiv w:val="1"/>
      <w:marLeft w:val="0"/>
      <w:marRight w:val="0"/>
      <w:marTop w:val="0"/>
      <w:marBottom w:val="0"/>
      <w:divBdr>
        <w:top w:val="none" w:sz="0" w:space="0" w:color="auto"/>
        <w:left w:val="none" w:sz="0" w:space="0" w:color="auto"/>
        <w:bottom w:val="none" w:sz="0" w:space="0" w:color="auto"/>
        <w:right w:val="none" w:sz="0" w:space="0" w:color="auto"/>
      </w:divBdr>
    </w:div>
    <w:div w:id="302928621">
      <w:bodyDiv w:val="1"/>
      <w:marLeft w:val="0"/>
      <w:marRight w:val="0"/>
      <w:marTop w:val="0"/>
      <w:marBottom w:val="0"/>
      <w:divBdr>
        <w:top w:val="none" w:sz="0" w:space="0" w:color="auto"/>
        <w:left w:val="none" w:sz="0" w:space="0" w:color="auto"/>
        <w:bottom w:val="none" w:sz="0" w:space="0" w:color="auto"/>
        <w:right w:val="none" w:sz="0" w:space="0" w:color="auto"/>
      </w:divBdr>
    </w:div>
    <w:div w:id="308556910">
      <w:bodyDiv w:val="1"/>
      <w:marLeft w:val="0"/>
      <w:marRight w:val="0"/>
      <w:marTop w:val="0"/>
      <w:marBottom w:val="0"/>
      <w:divBdr>
        <w:top w:val="none" w:sz="0" w:space="0" w:color="auto"/>
        <w:left w:val="none" w:sz="0" w:space="0" w:color="auto"/>
        <w:bottom w:val="none" w:sz="0" w:space="0" w:color="auto"/>
        <w:right w:val="none" w:sz="0" w:space="0" w:color="auto"/>
      </w:divBdr>
    </w:div>
    <w:div w:id="319037916">
      <w:bodyDiv w:val="1"/>
      <w:marLeft w:val="0"/>
      <w:marRight w:val="0"/>
      <w:marTop w:val="0"/>
      <w:marBottom w:val="0"/>
      <w:divBdr>
        <w:top w:val="none" w:sz="0" w:space="0" w:color="auto"/>
        <w:left w:val="none" w:sz="0" w:space="0" w:color="auto"/>
        <w:bottom w:val="none" w:sz="0" w:space="0" w:color="auto"/>
        <w:right w:val="none" w:sz="0" w:space="0" w:color="auto"/>
      </w:divBdr>
    </w:div>
    <w:div w:id="415517263">
      <w:bodyDiv w:val="1"/>
      <w:marLeft w:val="0"/>
      <w:marRight w:val="0"/>
      <w:marTop w:val="0"/>
      <w:marBottom w:val="0"/>
      <w:divBdr>
        <w:top w:val="none" w:sz="0" w:space="0" w:color="auto"/>
        <w:left w:val="none" w:sz="0" w:space="0" w:color="auto"/>
        <w:bottom w:val="none" w:sz="0" w:space="0" w:color="auto"/>
        <w:right w:val="none" w:sz="0" w:space="0" w:color="auto"/>
      </w:divBdr>
    </w:div>
    <w:div w:id="495071828">
      <w:bodyDiv w:val="1"/>
      <w:marLeft w:val="0"/>
      <w:marRight w:val="0"/>
      <w:marTop w:val="0"/>
      <w:marBottom w:val="0"/>
      <w:divBdr>
        <w:top w:val="none" w:sz="0" w:space="0" w:color="auto"/>
        <w:left w:val="none" w:sz="0" w:space="0" w:color="auto"/>
        <w:bottom w:val="none" w:sz="0" w:space="0" w:color="auto"/>
        <w:right w:val="none" w:sz="0" w:space="0" w:color="auto"/>
      </w:divBdr>
      <w:divsChild>
        <w:div w:id="951935767">
          <w:marLeft w:val="0"/>
          <w:marRight w:val="0"/>
          <w:marTop w:val="0"/>
          <w:marBottom w:val="0"/>
          <w:divBdr>
            <w:top w:val="none" w:sz="0" w:space="0" w:color="auto"/>
            <w:left w:val="none" w:sz="0" w:space="0" w:color="auto"/>
            <w:bottom w:val="none" w:sz="0" w:space="0" w:color="auto"/>
            <w:right w:val="none" w:sz="0" w:space="0" w:color="auto"/>
          </w:divBdr>
        </w:div>
        <w:div w:id="1394767150">
          <w:marLeft w:val="0"/>
          <w:marRight w:val="0"/>
          <w:marTop w:val="0"/>
          <w:marBottom w:val="0"/>
          <w:divBdr>
            <w:top w:val="none" w:sz="0" w:space="0" w:color="auto"/>
            <w:left w:val="none" w:sz="0" w:space="0" w:color="auto"/>
            <w:bottom w:val="none" w:sz="0" w:space="0" w:color="auto"/>
            <w:right w:val="none" w:sz="0" w:space="0" w:color="auto"/>
          </w:divBdr>
        </w:div>
        <w:div w:id="1582522333">
          <w:marLeft w:val="0"/>
          <w:marRight w:val="0"/>
          <w:marTop w:val="0"/>
          <w:marBottom w:val="0"/>
          <w:divBdr>
            <w:top w:val="none" w:sz="0" w:space="0" w:color="auto"/>
            <w:left w:val="none" w:sz="0" w:space="0" w:color="auto"/>
            <w:bottom w:val="none" w:sz="0" w:space="0" w:color="auto"/>
            <w:right w:val="none" w:sz="0" w:space="0" w:color="auto"/>
          </w:divBdr>
        </w:div>
        <w:div w:id="1979144750">
          <w:marLeft w:val="0"/>
          <w:marRight w:val="0"/>
          <w:marTop w:val="0"/>
          <w:marBottom w:val="0"/>
          <w:divBdr>
            <w:top w:val="none" w:sz="0" w:space="0" w:color="auto"/>
            <w:left w:val="none" w:sz="0" w:space="0" w:color="auto"/>
            <w:bottom w:val="none" w:sz="0" w:space="0" w:color="auto"/>
            <w:right w:val="none" w:sz="0" w:space="0" w:color="auto"/>
          </w:divBdr>
        </w:div>
      </w:divsChild>
    </w:div>
    <w:div w:id="509947643">
      <w:bodyDiv w:val="1"/>
      <w:marLeft w:val="0"/>
      <w:marRight w:val="0"/>
      <w:marTop w:val="0"/>
      <w:marBottom w:val="0"/>
      <w:divBdr>
        <w:top w:val="none" w:sz="0" w:space="0" w:color="auto"/>
        <w:left w:val="none" w:sz="0" w:space="0" w:color="auto"/>
        <w:bottom w:val="none" w:sz="0" w:space="0" w:color="auto"/>
        <w:right w:val="none" w:sz="0" w:space="0" w:color="auto"/>
      </w:divBdr>
    </w:div>
    <w:div w:id="604729435">
      <w:bodyDiv w:val="1"/>
      <w:marLeft w:val="0"/>
      <w:marRight w:val="0"/>
      <w:marTop w:val="0"/>
      <w:marBottom w:val="0"/>
      <w:divBdr>
        <w:top w:val="none" w:sz="0" w:space="0" w:color="auto"/>
        <w:left w:val="none" w:sz="0" w:space="0" w:color="auto"/>
        <w:bottom w:val="none" w:sz="0" w:space="0" w:color="auto"/>
        <w:right w:val="none" w:sz="0" w:space="0" w:color="auto"/>
      </w:divBdr>
    </w:div>
    <w:div w:id="623537180">
      <w:bodyDiv w:val="1"/>
      <w:marLeft w:val="0"/>
      <w:marRight w:val="0"/>
      <w:marTop w:val="0"/>
      <w:marBottom w:val="0"/>
      <w:divBdr>
        <w:top w:val="none" w:sz="0" w:space="0" w:color="auto"/>
        <w:left w:val="none" w:sz="0" w:space="0" w:color="auto"/>
        <w:bottom w:val="none" w:sz="0" w:space="0" w:color="auto"/>
        <w:right w:val="none" w:sz="0" w:space="0" w:color="auto"/>
      </w:divBdr>
    </w:div>
    <w:div w:id="677316590">
      <w:bodyDiv w:val="1"/>
      <w:marLeft w:val="0"/>
      <w:marRight w:val="0"/>
      <w:marTop w:val="0"/>
      <w:marBottom w:val="0"/>
      <w:divBdr>
        <w:top w:val="none" w:sz="0" w:space="0" w:color="auto"/>
        <w:left w:val="none" w:sz="0" w:space="0" w:color="auto"/>
        <w:bottom w:val="none" w:sz="0" w:space="0" w:color="auto"/>
        <w:right w:val="none" w:sz="0" w:space="0" w:color="auto"/>
      </w:divBdr>
    </w:div>
    <w:div w:id="754593467">
      <w:bodyDiv w:val="1"/>
      <w:marLeft w:val="0"/>
      <w:marRight w:val="0"/>
      <w:marTop w:val="0"/>
      <w:marBottom w:val="0"/>
      <w:divBdr>
        <w:top w:val="none" w:sz="0" w:space="0" w:color="auto"/>
        <w:left w:val="none" w:sz="0" w:space="0" w:color="auto"/>
        <w:bottom w:val="none" w:sz="0" w:space="0" w:color="auto"/>
        <w:right w:val="none" w:sz="0" w:space="0" w:color="auto"/>
      </w:divBdr>
      <w:divsChild>
        <w:div w:id="61298034">
          <w:marLeft w:val="0"/>
          <w:marRight w:val="0"/>
          <w:marTop w:val="0"/>
          <w:marBottom w:val="0"/>
          <w:divBdr>
            <w:top w:val="none" w:sz="0" w:space="0" w:color="auto"/>
            <w:left w:val="none" w:sz="0" w:space="0" w:color="auto"/>
            <w:bottom w:val="none" w:sz="0" w:space="0" w:color="auto"/>
            <w:right w:val="none" w:sz="0" w:space="0" w:color="auto"/>
          </w:divBdr>
          <w:divsChild>
            <w:div w:id="1575772974">
              <w:marLeft w:val="0"/>
              <w:marRight w:val="0"/>
              <w:marTop w:val="0"/>
              <w:marBottom w:val="0"/>
              <w:divBdr>
                <w:top w:val="none" w:sz="0" w:space="0" w:color="auto"/>
                <w:left w:val="none" w:sz="0" w:space="0" w:color="auto"/>
                <w:bottom w:val="none" w:sz="0" w:space="0" w:color="auto"/>
                <w:right w:val="none" w:sz="0" w:space="0" w:color="auto"/>
              </w:divBdr>
              <w:divsChild>
                <w:div w:id="1542592066">
                  <w:marLeft w:val="0"/>
                  <w:marRight w:val="0"/>
                  <w:marTop w:val="0"/>
                  <w:marBottom w:val="0"/>
                  <w:divBdr>
                    <w:top w:val="none" w:sz="0" w:space="0" w:color="auto"/>
                    <w:left w:val="none" w:sz="0" w:space="0" w:color="auto"/>
                    <w:bottom w:val="none" w:sz="0" w:space="0" w:color="auto"/>
                    <w:right w:val="none" w:sz="0" w:space="0" w:color="auto"/>
                  </w:divBdr>
                </w:div>
              </w:divsChild>
            </w:div>
            <w:div w:id="1736274220">
              <w:marLeft w:val="0"/>
              <w:marRight w:val="0"/>
              <w:marTop w:val="0"/>
              <w:marBottom w:val="0"/>
              <w:divBdr>
                <w:top w:val="none" w:sz="0" w:space="0" w:color="auto"/>
                <w:left w:val="none" w:sz="0" w:space="0" w:color="auto"/>
                <w:bottom w:val="none" w:sz="0" w:space="0" w:color="auto"/>
                <w:right w:val="none" w:sz="0" w:space="0" w:color="auto"/>
              </w:divBdr>
            </w:div>
          </w:divsChild>
        </w:div>
        <w:div w:id="219676804">
          <w:marLeft w:val="0"/>
          <w:marRight w:val="0"/>
          <w:marTop w:val="0"/>
          <w:marBottom w:val="0"/>
          <w:divBdr>
            <w:top w:val="none" w:sz="0" w:space="0" w:color="auto"/>
            <w:left w:val="none" w:sz="0" w:space="0" w:color="auto"/>
            <w:bottom w:val="none" w:sz="0" w:space="0" w:color="auto"/>
            <w:right w:val="none" w:sz="0" w:space="0" w:color="auto"/>
          </w:divBdr>
          <w:divsChild>
            <w:div w:id="2112163755">
              <w:marLeft w:val="0"/>
              <w:marRight w:val="0"/>
              <w:marTop w:val="0"/>
              <w:marBottom w:val="0"/>
              <w:divBdr>
                <w:top w:val="none" w:sz="0" w:space="0" w:color="auto"/>
                <w:left w:val="none" w:sz="0" w:space="0" w:color="auto"/>
                <w:bottom w:val="none" w:sz="0" w:space="0" w:color="auto"/>
                <w:right w:val="none" w:sz="0" w:space="0" w:color="auto"/>
              </w:divBdr>
            </w:div>
          </w:divsChild>
        </w:div>
        <w:div w:id="455493313">
          <w:marLeft w:val="0"/>
          <w:marRight w:val="0"/>
          <w:marTop w:val="0"/>
          <w:marBottom w:val="0"/>
          <w:divBdr>
            <w:top w:val="none" w:sz="0" w:space="0" w:color="auto"/>
            <w:left w:val="none" w:sz="0" w:space="0" w:color="auto"/>
            <w:bottom w:val="none" w:sz="0" w:space="0" w:color="auto"/>
            <w:right w:val="none" w:sz="0" w:space="0" w:color="auto"/>
          </w:divBdr>
          <w:divsChild>
            <w:div w:id="56100571">
              <w:marLeft w:val="0"/>
              <w:marRight w:val="0"/>
              <w:marTop w:val="0"/>
              <w:marBottom w:val="0"/>
              <w:divBdr>
                <w:top w:val="none" w:sz="0" w:space="0" w:color="auto"/>
                <w:left w:val="none" w:sz="0" w:space="0" w:color="auto"/>
                <w:bottom w:val="none" w:sz="0" w:space="0" w:color="auto"/>
                <w:right w:val="none" w:sz="0" w:space="0" w:color="auto"/>
              </w:divBdr>
            </w:div>
            <w:div w:id="1965425638">
              <w:marLeft w:val="0"/>
              <w:marRight w:val="0"/>
              <w:marTop w:val="0"/>
              <w:marBottom w:val="0"/>
              <w:divBdr>
                <w:top w:val="none" w:sz="0" w:space="0" w:color="auto"/>
                <w:left w:val="none" w:sz="0" w:space="0" w:color="auto"/>
                <w:bottom w:val="none" w:sz="0" w:space="0" w:color="auto"/>
                <w:right w:val="none" w:sz="0" w:space="0" w:color="auto"/>
              </w:divBdr>
              <w:divsChild>
                <w:div w:id="42253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23521">
          <w:marLeft w:val="0"/>
          <w:marRight w:val="0"/>
          <w:marTop w:val="0"/>
          <w:marBottom w:val="0"/>
          <w:divBdr>
            <w:top w:val="none" w:sz="0" w:space="0" w:color="auto"/>
            <w:left w:val="none" w:sz="0" w:space="0" w:color="auto"/>
            <w:bottom w:val="none" w:sz="0" w:space="0" w:color="auto"/>
            <w:right w:val="none" w:sz="0" w:space="0" w:color="auto"/>
          </w:divBdr>
          <w:divsChild>
            <w:div w:id="947740937">
              <w:marLeft w:val="0"/>
              <w:marRight w:val="0"/>
              <w:marTop w:val="0"/>
              <w:marBottom w:val="0"/>
              <w:divBdr>
                <w:top w:val="none" w:sz="0" w:space="0" w:color="auto"/>
                <w:left w:val="none" w:sz="0" w:space="0" w:color="auto"/>
                <w:bottom w:val="none" w:sz="0" w:space="0" w:color="auto"/>
                <w:right w:val="none" w:sz="0" w:space="0" w:color="auto"/>
              </w:divBdr>
            </w:div>
          </w:divsChild>
        </w:div>
        <w:div w:id="1585917942">
          <w:marLeft w:val="0"/>
          <w:marRight w:val="0"/>
          <w:marTop w:val="0"/>
          <w:marBottom w:val="0"/>
          <w:divBdr>
            <w:top w:val="none" w:sz="0" w:space="0" w:color="auto"/>
            <w:left w:val="none" w:sz="0" w:space="0" w:color="auto"/>
            <w:bottom w:val="none" w:sz="0" w:space="0" w:color="auto"/>
            <w:right w:val="none" w:sz="0" w:space="0" w:color="auto"/>
          </w:divBdr>
          <w:divsChild>
            <w:div w:id="227346425">
              <w:marLeft w:val="0"/>
              <w:marRight w:val="0"/>
              <w:marTop w:val="0"/>
              <w:marBottom w:val="0"/>
              <w:divBdr>
                <w:top w:val="none" w:sz="0" w:space="0" w:color="auto"/>
                <w:left w:val="none" w:sz="0" w:space="0" w:color="auto"/>
                <w:bottom w:val="none" w:sz="0" w:space="0" w:color="auto"/>
                <w:right w:val="none" w:sz="0" w:space="0" w:color="auto"/>
              </w:divBdr>
              <w:divsChild>
                <w:div w:id="1687712700">
                  <w:marLeft w:val="0"/>
                  <w:marRight w:val="0"/>
                  <w:marTop w:val="0"/>
                  <w:marBottom w:val="0"/>
                  <w:divBdr>
                    <w:top w:val="none" w:sz="0" w:space="0" w:color="auto"/>
                    <w:left w:val="none" w:sz="0" w:space="0" w:color="auto"/>
                    <w:bottom w:val="none" w:sz="0" w:space="0" w:color="auto"/>
                    <w:right w:val="none" w:sz="0" w:space="0" w:color="auto"/>
                  </w:divBdr>
                </w:div>
              </w:divsChild>
            </w:div>
            <w:div w:id="734740851">
              <w:marLeft w:val="0"/>
              <w:marRight w:val="0"/>
              <w:marTop w:val="0"/>
              <w:marBottom w:val="0"/>
              <w:divBdr>
                <w:top w:val="none" w:sz="0" w:space="0" w:color="auto"/>
                <w:left w:val="none" w:sz="0" w:space="0" w:color="auto"/>
                <w:bottom w:val="none" w:sz="0" w:space="0" w:color="auto"/>
                <w:right w:val="none" w:sz="0" w:space="0" w:color="auto"/>
              </w:divBdr>
            </w:div>
          </w:divsChild>
        </w:div>
        <w:div w:id="1732579841">
          <w:marLeft w:val="0"/>
          <w:marRight w:val="0"/>
          <w:marTop w:val="0"/>
          <w:marBottom w:val="0"/>
          <w:divBdr>
            <w:top w:val="none" w:sz="0" w:space="0" w:color="auto"/>
            <w:left w:val="none" w:sz="0" w:space="0" w:color="auto"/>
            <w:bottom w:val="none" w:sz="0" w:space="0" w:color="auto"/>
            <w:right w:val="none" w:sz="0" w:space="0" w:color="auto"/>
          </w:divBdr>
          <w:divsChild>
            <w:div w:id="527178596">
              <w:marLeft w:val="0"/>
              <w:marRight w:val="0"/>
              <w:marTop w:val="0"/>
              <w:marBottom w:val="0"/>
              <w:divBdr>
                <w:top w:val="none" w:sz="0" w:space="0" w:color="auto"/>
                <w:left w:val="none" w:sz="0" w:space="0" w:color="auto"/>
                <w:bottom w:val="none" w:sz="0" w:space="0" w:color="auto"/>
                <w:right w:val="none" w:sz="0" w:space="0" w:color="auto"/>
              </w:divBdr>
              <w:divsChild>
                <w:div w:id="1780831125">
                  <w:marLeft w:val="0"/>
                  <w:marRight w:val="0"/>
                  <w:marTop w:val="0"/>
                  <w:marBottom w:val="0"/>
                  <w:divBdr>
                    <w:top w:val="none" w:sz="0" w:space="0" w:color="auto"/>
                    <w:left w:val="none" w:sz="0" w:space="0" w:color="auto"/>
                    <w:bottom w:val="none" w:sz="0" w:space="0" w:color="auto"/>
                    <w:right w:val="none" w:sz="0" w:space="0" w:color="auto"/>
                  </w:divBdr>
                </w:div>
              </w:divsChild>
            </w:div>
            <w:div w:id="2024477790">
              <w:marLeft w:val="0"/>
              <w:marRight w:val="0"/>
              <w:marTop w:val="0"/>
              <w:marBottom w:val="0"/>
              <w:divBdr>
                <w:top w:val="none" w:sz="0" w:space="0" w:color="auto"/>
                <w:left w:val="none" w:sz="0" w:space="0" w:color="auto"/>
                <w:bottom w:val="none" w:sz="0" w:space="0" w:color="auto"/>
                <w:right w:val="none" w:sz="0" w:space="0" w:color="auto"/>
              </w:divBdr>
            </w:div>
          </w:divsChild>
        </w:div>
        <w:div w:id="1909999392">
          <w:marLeft w:val="0"/>
          <w:marRight w:val="0"/>
          <w:marTop w:val="0"/>
          <w:marBottom w:val="0"/>
          <w:divBdr>
            <w:top w:val="none" w:sz="0" w:space="0" w:color="auto"/>
            <w:left w:val="none" w:sz="0" w:space="0" w:color="auto"/>
            <w:bottom w:val="none" w:sz="0" w:space="0" w:color="auto"/>
            <w:right w:val="none" w:sz="0" w:space="0" w:color="auto"/>
          </w:divBdr>
          <w:divsChild>
            <w:div w:id="611668524">
              <w:marLeft w:val="0"/>
              <w:marRight w:val="0"/>
              <w:marTop w:val="0"/>
              <w:marBottom w:val="0"/>
              <w:divBdr>
                <w:top w:val="none" w:sz="0" w:space="0" w:color="auto"/>
                <w:left w:val="none" w:sz="0" w:space="0" w:color="auto"/>
                <w:bottom w:val="none" w:sz="0" w:space="0" w:color="auto"/>
                <w:right w:val="none" w:sz="0" w:space="0" w:color="auto"/>
              </w:divBdr>
            </w:div>
          </w:divsChild>
        </w:div>
        <w:div w:id="2050916023">
          <w:marLeft w:val="0"/>
          <w:marRight w:val="0"/>
          <w:marTop w:val="0"/>
          <w:marBottom w:val="0"/>
          <w:divBdr>
            <w:top w:val="none" w:sz="0" w:space="0" w:color="auto"/>
            <w:left w:val="none" w:sz="0" w:space="0" w:color="auto"/>
            <w:bottom w:val="none" w:sz="0" w:space="0" w:color="auto"/>
            <w:right w:val="none" w:sz="0" w:space="0" w:color="auto"/>
          </w:divBdr>
          <w:divsChild>
            <w:div w:id="709692362">
              <w:marLeft w:val="0"/>
              <w:marRight w:val="0"/>
              <w:marTop w:val="0"/>
              <w:marBottom w:val="0"/>
              <w:divBdr>
                <w:top w:val="none" w:sz="0" w:space="0" w:color="auto"/>
                <w:left w:val="none" w:sz="0" w:space="0" w:color="auto"/>
                <w:bottom w:val="none" w:sz="0" w:space="0" w:color="auto"/>
                <w:right w:val="none" w:sz="0" w:space="0" w:color="auto"/>
              </w:divBdr>
            </w:div>
            <w:div w:id="988632520">
              <w:marLeft w:val="0"/>
              <w:marRight w:val="0"/>
              <w:marTop w:val="0"/>
              <w:marBottom w:val="0"/>
              <w:divBdr>
                <w:top w:val="none" w:sz="0" w:space="0" w:color="auto"/>
                <w:left w:val="none" w:sz="0" w:space="0" w:color="auto"/>
                <w:bottom w:val="none" w:sz="0" w:space="0" w:color="auto"/>
                <w:right w:val="none" w:sz="0" w:space="0" w:color="auto"/>
              </w:divBdr>
              <w:divsChild>
                <w:div w:id="120718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291155">
          <w:marLeft w:val="0"/>
          <w:marRight w:val="0"/>
          <w:marTop w:val="0"/>
          <w:marBottom w:val="0"/>
          <w:divBdr>
            <w:top w:val="none" w:sz="0" w:space="0" w:color="auto"/>
            <w:left w:val="none" w:sz="0" w:space="0" w:color="auto"/>
            <w:bottom w:val="none" w:sz="0" w:space="0" w:color="auto"/>
            <w:right w:val="none" w:sz="0" w:space="0" w:color="auto"/>
          </w:divBdr>
          <w:divsChild>
            <w:div w:id="1308824854">
              <w:marLeft w:val="0"/>
              <w:marRight w:val="0"/>
              <w:marTop w:val="0"/>
              <w:marBottom w:val="0"/>
              <w:divBdr>
                <w:top w:val="none" w:sz="0" w:space="0" w:color="auto"/>
                <w:left w:val="none" w:sz="0" w:space="0" w:color="auto"/>
                <w:bottom w:val="none" w:sz="0" w:space="0" w:color="auto"/>
                <w:right w:val="none" w:sz="0" w:space="0" w:color="auto"/>
              </w:divBdr>
            </w:div>
          </w:divsChild>
        </w:div>
        <w:div w:id="2071151160">
          <w:marLeft w:val="0"/>
          <w:marRight w:val="0"/>
          <w:marTop w:val="0"/>
          <w:marBottom w:val="0"/>
          <w:divBdr>
            <w:top w:val="none" w:sz="0" w:space="0" w:color="auto"/>
            <w:left w:val="none" w:sz="0" w:space="0" w:color="auto"/>
            <w:bottom w:val="none" w:sz="0" w:space="0" w:color="auto"/>
            <w:right w:val="none" w:sz="0" w:space="0" w:color="auto"/>
          </w:divBdr>
          <w:divsChild>
            <w:div w:id="557401753">
              <w:marLeft w:val="0"/>
              <w:marRight w:val="0"/>
              <w:marTop w:val="0"/>
              <w:marBottom w:val="0"/>
              <w:divBdr>
                <w:top w:val="none" w:sz="0" w:space="0" w:color="auto"/>
                <w:left w:val="none" w:sz="0" w:space="0" w:color="auto"/>
                <w:bottom w:val="none" w:sz="0" w:space="0" w:color="auto"/>
                <w:right w:val="none" w:sz="0" w:space="0" w:color="auto"/>
              </w:divBdr>
            </w:div>
            <w:div w:id="2124836818">
              <w:marLeft w:val="0"/>
              <w:marRight w:val="0"/>
              <w:marTop w:val="0"/>
              <w:marBottom w:val="0"/>
              <w:divBdr>
                <w:top w:val="none" w:sz="0" w:space="0" w:color="auto"/>
                <w:left w:val="none" w:sz="0" w:space="0" w:color="auto"/>
                <w:bottom w:val="none" w:sz="0" w:space="0" w:color="auto"/>
                <w:right w:val="none" w:sz="0" w:space="0" w:color="auto"/>
              </w:divBdr>
              <w:divsChild>
                <w:div w:id="196472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930232">
      <w:bodyDiv w:val="1"/>
      <w:marLeft w:val="0"/>
      <w:marRight w:val="0"/>
      <w:marTop w:val="0"/>
      <w:marBottom w:val="0"/>
      <w:divBdr>
        <w:top w:val="none" w:sz="0" w:space="0" w:color="auto"/>
        <w:left w:val="none" w:sz="0" w:space="0" w:color="auto"/>
        <w:bottom w:val="none" w:sz="0" w:space="0" w:color="auto"/>
        <w:right w:val="none" w:sz="0" w:space="0" w:color="auto"/>
      </w:divBdr>
    </w:div>
    <w:div w:id="781413085">
      <w:bodyDiv w:val="1"/>
      <w:marLeft w:val="0"/>
      <w:marRight w:val="0"/>
      <w:marTop w:val="0"/>
      <w:marBottom w:val="0"/>
      <w:divBdr>
        <w:top w:val="none" w:sz="0" w:space="0" w:color="auto"/>
        <w:left w:val="none" w:sz="0" w:space="0" w:color="auto"/>
        <w:bottom w:val="none" w:sz="0" w:space="0" w:color="auto"/>
        <w:right w:val="none" w:sz="0" w:space="0" w:color="auto"/>
      </w:divBdr>
    </w:div>
    <w:div w:id="786041985">
      <w:bodyDiv w:val="1"/>
      <w:marLeft w:val="0"/>
      <w:marRight w:val="0"/>
      <w:marTop w:val="0"/>
      <w:marBottom w:val="0"/>
      <w:divBdr>
        <w:top w:val="none" w:sz="0" w:space="0" w:color="auto"/>
        <w:left w:val="none" w:sz="0" w:space="0" w:color="auto"/>
        <w:bottom w:val="none" w:sz="0" w:space="0" w:color="auto"/>
        <w:right w:val="none" w:sz="0" w:space="0" w:color="auto"/>
      </w:divBdr>
    </w:div>
    <w:div w:id="850922375">
      <w:bodyDiv w:val="1"/>
      <w:marLeft w:val="0"/>
      <w:marRight w:val="0"/>
      <w:marTop w:val="0"/>
      <w:marBottom w:val="0"/>
      <w:divBdr>
        <w:top w:val="none" w:sz="0" w:space="0" w:color="auto"/>
        <w:left w:val="none" w:sz="0" w:space="0" w:color="auto"/>
        <w:bottom w:val="none" w:sz="0" w:space="0" w:color="auto"/>
        <w:right w:val="none" w:sz="0" w:space="0" w:color="auto"/>
      </w:divBdr>
    </w:div>
    <w:div w:id="861237057">
      <w:bodyDiv w:val="1"/>
      <w:marLeft w:val="0"/>
      <w:marRight w:val="0"/>
      <w:marTop w:val="0"/>
      <w:marBottom w:val="0"/>
      <w:divBdr>
        <w:top w:val="none" w:sz="0" w:space="0" w:color="auto"/>
        <w:left w:val="none" w:sz="0" w:space="0" w:color="auto"/>
        <w:bottom w:val="none" w:sz="0" w:space="0" w:color="auto"/>
        <w:right w:val="none" w:sz="0" w:space="0" w:color="auto"/>
      </w:divBdr>
    </w:div>
    <w:div w:id="922370839">
      <w:bodyDiv w:val="1"/>
      <w:marLeft w:val="0"/>
      <w:marRight w:val="0"/>
      <w:marTop w:val="0"/>
      <w:marBottom w:val="0"/>
      <w:divBdr>
        <w:top w:val="none" w:sz="0" w:space="0" w:color="auto"/>
        <w:left w:val="none" w:sz="0" w:space="0" w:color="auto"/>
        <w:bottom w:val="none" w:sz="0" w:space="0" w:color="auto"/>
        <w:right w:val="none" w:sz="0" w:space="0" w:color="auto"/>
      </w:divBdr>
    </w:div>
    <w:div w:id="945573931">
      <w:bodyDiv w:val="1"/>
      <w:marLeft w:val="0"/>
      <w:marRight w:val="0"/>
      <w:marTop w:val="0"/>
      <w:marBottom w:val="0"/>
      <w:divBdr>
        <w:top w:val="none" w:sz="0" w:space="0" w:color="auto"/>
        <w:left w:val="none" w:sz="0" w:space="0" w:color="auto"/>
        <w:bottom w:val="none" w:sz="0" w:space="0" w:color="auto"/>
        <w:right w:val="none" w:sz="0" w:space="0" w:color="auto"/>
      </w:divBdr>
    </w:div>
    <w:div w:id="947733051">
      <w:bodyDiv w:val="1"/>
      <w:marLeft w:val="0"/>
      <w:marRight w:val="0"/>
      <w:marTop w:val="0"/>
      <w:marBottom w:val="0"/>
      <w:divBdr>
        <w:top w:val="none" w:sz="0" w:space="0" w:color="auto"/>
        <w:left w:val="none" w:sz="0" w:space="0" w:color="auto"/>
        <w:bottom w:val="none" w:sz="0" w:space="0" w:color="auto"/>
        <w:right w:val="none" w:sz="0" w:space="0" w:color="auto"/>
      </w:divBdr>
      <w:divsChild>
        <w:div w:id="275409178">
          <w:marLeft w:val="0"/>
          <w:marRight w:val="0"/>
          <w:marTop w:val="0"/>
          <w:marBottom w:val="0"/>
          <w:divBdr>
            <w:top w:val="none" w:sz="0" w:space="0" w:color="auto"/>
            <w:left w:val="none" w:sz="0" w:space="0" w:color="auto"/>
            <w:bottom w:val="none" w:sz="0" w:space="0" w:color="auto"/>
            <w:right w:val="none" w:sz="0" w:space="0" w:color="auto"/>
          </w:divBdr>
        </w:div>
        <w:div w:id="541359717">
          <w:marLeft w:val="0"/>
          <w:marRight w:val="0"/>
          <w:marTop w:val="0"/>
          <w:marBottom w:val="0"/>
          <w:divBdr>
            <w:top w:val="none" w:sz="0" w:space="0" w:color="auto"/>
            <w:left w:val="none" w:sz="0" w:space="0" w:color="auto"/>
            <w:bottom w:val="none" w:sz="0" w:space="0" w:color="auto"/>
            <w:right w:val="none" w:sz="0" w:space="0" w:color="auto"/>
          </w:divBdr>
        </w:div>
      </w:divsChild>
    </w:div>
    <w:div w:id="949432855">
      <w:bodyDiv w:val="1"/>
      <w:marLeft w:val="0"/>
      <w:marRight w:val="0"/>
      <w:marTop w:val="0"/>
      <w:marBottom w:val="0"/>
      <w:divBdr>
        <w:top w:val="none" w:sz="0" w:space="0" w:color="auto"/>
        <w:left w:val="none" w:sz="0" w:space="0" w:color="auto"/>
        <w:bottom w:val="none" w:sz="0" w:space="0" w:color="auto"/>
        <w:right w:val="none" w:sz="0" w:space="0" w:color="auto"/>
      </w:divBdr>
      <w:divsChild>
        <w:div w:id="238030053">
          <w:marLeft w:val="0"/>
          <w:marRight w:val="0"/>
          <w:marTop w:val="0"/>
          <w:marBottom w:val="0"/>
          <w:divBdr>
            <w:top w:val="none" w:sz="0" w:space="0" w:color="auto"/>
            <w:left w:val="none" w:sz="0" w:space="0" w:color="auto"/>
            <w:bottom w:val="none" w:sz="0" w:space="0" w:color="auto"/>
            <w:right w:val="none" w:sz="0" w:space="0" w:color="auto"/>
          </w:divBdr>
        </w:div>
        <w:div w:id="403575896">
          <w:marLeft w:val="0"/>
          <w:marRight w:val="0"/>
          <w:marTop w:val="0"/>
          <w:marBottom w:val="0"/>
          <w:divBdr>
            <w:top w:val="none" w:sz="0" w:space="0" w:color="auto"/>
            <w:left w:val="none" w:sz="0" w:space="0" w:color="auto"/>
            <w:bottom w:val="none" w:sz="0" w:space="0" w:color="auto"/>
            <w:right w:val="none" w:sz="0" w:space="0" w:color="auto"/>
          </w:divBdr>
        </w:div>
      </w:divsChild>
    </w:div>
    <w:div w:id="1008604852">
      <w:bodyDiv w:val="1"/>
      <w:marLeft w:val="0"/>
      <w:marRight w:val="0"/>
      <w:marTop w:val="0"/>
      <w:marBottom w:val="0"/>
      <w:divBdr>
        <w:top w:val="none" w:sz="0" w:space="0" w:color="auto"/>
        <w:left w:val="none" w:sz="0" w:space="0" w:color="auto"/>
        <w:bottom w:val="none" w:sz="0" w:space="0" w:color="auto"/>
        <w:right w:val="none" w:sz="0" w:space="0" w:color="auto"/>
      </w:divBdr>
    </w:div>
    <w:div w:id="1023558600">
      <w:bodyDiv w:val="1"/>
      <w:marLeft w:val="0"/>
      <w:marRight w:val="0"/>
      <w:marTop w:val="0"/>
      <w:marBottom w:val="0"/>
      <w:divBdr>
        <w:top w:val="none" w:sz="0" w:space="0" w:color="auto"/>
        <w:left w:val="none" w:sz="0" w:space="0" w:color="auto"/>
        <w:bottom w:val="none" w:sz="0" w:space="0" w:color="auto"/>
        <w:right w:val="none" w:sz="0" w:space="0" w:color="auto"/>
      </w:divBdr>
    </w:div>
    <w:div w:id="1030229004">
      <w:bodyDiv w:val="1"/>
      <w:marLeft w:val="0"/>
      <w:marRight w:val="0"/>
      <w:marTop w:val="0"/>
      <w:marBottom w:val="0"/>
      <w:divBdr>
        <w:top w:val="none" w:sz="0" w:space="0" w:color="auto"/>
        <w:left w:val="none" w:sz="0" w:space="0" w:color="auto"/>
        <w:bottom w:val="none" w:sz="0" w:space="0" w:color="auto"/>
        <w:right w:val="none" w:sz="0" w:space="0" w:color="auto"/>
      </w:divBdr>
    </w:div>
    <w:div w:id="1054157598">
      <w:bodyDiv w:val="1"/>
      <w:marLeft w:val="0"/>
      <w:marRight w:val="0"/>
      <w:marTop w:val="0"/>
      <w:marBottom w:val="0"/>
      <w:divBdr>
        <w:top w:val="none" w:sz="0" w:space="0" w:color="auto"/>
        <w:left w:val="none" w:sz="0" w:space="0" w:color="auto"/>
        <w:bottom w:val="none" w:sz="0" w:space="0" w:color="auto"/>
        <w:right w:val="none" w:sz="0" w:space="0" w:color="auto"/>
      </w:divBdr>
    </w:div>
    <w:div w:id="1061250442">
      <w:bodyDiv w:val="1"/>
      <w:marLeft w:val="0"/>
      <w:marRight w:val="0"/>
      <w:marTop w:val="0"/>
      <w:marBottom w:val="0"/>
      <w:divBdr>
        <w:top w:val="none" w:sz="0" w:space="0" w:color="auto"/>
        <w:left w:val="none" w:sz="0" w:space="0" w:color="auto"/>
        <w:bottom w:val="none" w:sz="0" w:space="0" w:color="auto"/>
        <w:right w:val="none" w:sz="0" w:space="0" w:color="auto"/>
      </w:divBdr>
    </w:div>
    <w:div w:id="1122310796">
      <w:bodyDiv w:val="1"/>
      <w:marLeft w:val="0"/>
      <w:marRight w:val="0"/>
      <w:marTop w:val="0"/>
      <w:marBottom w:val="0"/>
      <w:divBdr>
        <w:top w:val="none" w:sz="0" w:space="0" w:color="auto"/>
        <w:left w:val="none" w:sz="0" w:space="0" w:color="auto"/>
        <w:bottom w:val="none" w:sz="0" w:space="0" w:color="auto"/>
        <w:right w:val="none" w:sz="0" w:space="0" w:color="auto"/>
      </w:divBdr>
    </w:div>
    <w:div w:id="1205367776">
      <w:bodyDiv w:val="1"/>
      <w:marLeft w:val="0"/>
      <w:marRight w:val="0"/>
      <w:marTop w:val="0"/>
      <w:marBottom w:val="0"/>
      <w:divBdr>
        <w:top w:val="none" w:sz="0" w:space="0" w:color="auto"/>
        <w:left w:val="none" w:sz="0" w:space="0" w:color="auto"/>
        <w:bottom w:val="none" w:sz="0" w:space="0" w:color="auto"/>
        <w:right w:val="none" w:sz="0" w:space="0" w:color="auto"/>
      </w:divBdr>
    </w:div>
    <w:div w:id="1379549623">
      <w:bodyDiv w:val="1"/>
      <w:marLeft w:val="0"/>
      <w:marRight w:val="0"/>
      <w:marTop w:val="0"/>
      <w:marBottom w:val="0"/>
      <w:divBdr>
        <w:top w:val="none" w:sz="0" w:space="0" w:color="auto"/>
        <w:left w:val="none" w:sz="0" w:space="0" w:color="auto"/>
        <w:bottom w:val="none" w:sz="0" w:space="0" w:color="auto"/>
        <w:right w:val="none" w:sz="0" w:space="0" w:color="auto"/>
      </w:divBdr>
      <w:divsChild>
        <w:div w:id="610285424">
          <w:marLeft w:val="0"/>
          <w:marRight w:val="0"/>
          <w:marTop w:val="0"/>
          <w:marBottom w:val="0"/>
          <w:divBdr>
            <w:top w:val="none" w:sz="0" w:space="0" w:color="auto"/>
            <w:left w:val="none" w:sz="0" w:space="0" w:color="auto"/>
            <w:bottom w:val="none" w:sz="0" w:space="0" w:color="auto"/>
            <w:right w:val="none" w:sz="0" w:space="0" w:color="auto"/>
          </w:divBdr>
        </w:div>
        <w:div w:id="1328366645">
          <w:marLeft w:val="0"/>
          <w:marRight w:val="0"/>
          <w:marTop w:val="0"/>
          <w:marBottom w:val="0"/>
          <w:divBdr>
            <w:top w:val="none" w:sz="0" w:space="0" w:color="auto"/>
            <w:left w:val="none" w:sz="0" w:space="0" w:color="auto"/>
            <w:bottom w:val="none" w:sz="0" w:space="0" w:color="auto"/>
            <w:right w:val="none" w:sz="0" w:space="0" w:color="auto"/>
          </w:divBdr>
        </w:div>
        <w:div w:id="1523058124">
          <w:marLeft w:val="0"/>
          <w:marRight w:val="0"/>
          <w:marTop w:val="0"/>
          <w:marBottom w:val="0"/>
          <w:divBdr>
            <w:top w:val="none" w:sz="0" w:space="0" w:color="auto"/>
            <w:left w:val="none" w:sz="0" w:space="0" w:color="auto"/>
            <w:bottom w:val="none" w:sz="0" w:space="0" w:color="auto"/>
            <w:right w:val="none" w:sz="0" w:space="0" w:color="auto"/>
          </w:divBdr>
        </w:div>
        <w:div w:id="1659266500">
          <w:marLeft w:val="0"/>
          <w:marRight w:val="0"/>
          <w:marTop w:val="0"/>
          <w:marBottom w:val="0"/>
          <w:divBdr>
            <w:top w:val="none" w:sz="0" w:space="0" w:color="auto"/>
            <w:left w:val="none" w:sz="0" w:space="0" w:color="auto"/>
            <w:bottom w:val="none" w:sz="0" w:space="0" w:color="auto"/>
            <w:right w:val="none" w:sz="0" w:space="0" w:color="auto"/>
          </w:divBdr>
        </w:div>
      </w:divsChild>
    </w:div>
    <w:div w:id="1421826438">
      <w:bodyDiv w:val="1"/>
      <w:marLeft w:val="0"/>
      <w:marRight w:val="0"/>
      <w:marTop w:val="0"/>
      <w:marBottom w:val="0"/>
      <w:divBdr>
        <w:top w:val="none" w:sz="0" w:space="0" w:color="auto"/>
        <w:left w:val="none" w:sz="0" w:space="0" w:color="auto"/>
        <w:bottom w:val="none" w:sz="0" w:space="0" w:color="auto"/>
        <w:right w:val="none" w:sz="0" w:space="0" w:color="auto"/>
      </w:divBdr>
    </w:div>
    <w:div w:id="1459758358">
      <w:bodyDiv w:val="1"/>
      <w:marLeft w:val="0"/>
      <w:marRight w:val="0"/>
      <w:marTop w:val="0"/>
      <w:marBottom w:val="0"/>
      <w:divBdr>
        <w:top w:val="none" w:sz="0" w:space="0" w:color="auto"/>
        <w:left w:val="none" w:sz="0" w:space="0" w:color="auto"/>
        <w:bottom w:val="none" w:sz="0" w:space="0" w:color="auto"/>
        <w:right w:val="none" w:sz="0" w:space="0" w:color="auto"/>
      </w:divBdr>
    </w:div>
    <w:div w:id="1572620862">
      <w:bodyDiv w:val="1"/>
      <w:marLeft w:val="0"/>
      <w:marRight w:val="0"/>
      <w:marTop w:val="0"/>
      <w:marBottom w:val="0"/>
      <w:divBdr>
        <w:top w:val="none" w:sz="0" w:space="0" w:color="auto"/>
        <w:left w:val="none" w:sz="0" w:space="0" w:color="auto"/>
        <w:bottom w:val="none" w:sz="0" w:space="0" w:color="auto"/>
        <w:right w:val="none" w:sz="0" w:space="0" w:color="auto"/>
      </w:divBdr>
    </w:div>
    <w:div w:id="1644892168">
      <w:bodyDiv w:val="1"/>
      <w:marLeft w:val="0"/>
      <w:marRight w:val="0"/>
      <w:marTop w:val="0"/>
      <w:marBottom w:val="0"/>
      <w:divBdr>
        <w:top w:val="none" w:sz="0" w:space="0" w:color="auto"/>
        <w:left w:val="none" w:sz="0" w:space="0" w:color="auto"/>
        <w:bottom w:val="none" w:sz="0" w:space="0" w:color="auto"/>
        <w:right w:val="none" w:sz="0" w:space="0" w:color="auto"/>
      </w:divBdr>
    </w:div>
    <w:div w:id="1713798760">
      <w:bodyDiv w:val="1"/>
      <w:marLeft w:val="0"/>
      <w:marRight w:val="0"/>
      <w:marTop w:val="0"/>
      <w:marBottom w:val="0"/>
      <w:divBdr>
        <w:top w:val="none" w:sz="0" w:space="0" w:color="auto"/>
        <w:left w:val="none" w:sz="0" w:space="0" w:color="auto"/>
        <w:bottom w:val="none" w:sz="0" w:space="0" w:color="auto"/>
        <w:right w:val="none" w:sz="0" w:space="0" w:color="auto"/>
      </w:divBdr>
    </w:div>
    <w:div w:id="1784685213">
      <w:bodyDiv w:val="1"/>
      <w:marLeft w:val="0"/>
      <w:marRight w:val="0"/>
      <w:marTop w:val="0"/>
      <w:marBottom w:val="0"/>
      <w:divBdr>
        <w:top w:val="none" w:sz="0" w:space="0" w:color="auto"/>
        <w:left w:val="none" w:sz="0" w:space="0" w:color="auto"/>
        <w:bottom w:val="none" w:sz="0" w:space="0" w:color="auto"/>
        <w:right w:val="none" w:sz="0" w:space="0" w:color="auto"/>
      </w:divBdr>
    </w:div>
    <w:div w:id="1830709826">
      <w:bodyDiv w:val="1"/>
      <w:marLeft w:val="0"/>
      <w:marRight w:val="0"/>
      <w:marTop w:val="0"/>
      <w:marBottom w:val="0"/>
      <w:divBdr>
        <w:top w:val="none" w:sz="0" w:space="0" w:color="auto"/>
        <w:left w:val="none" w:sz="0" w:space="0" w:color="auto"/>
        <w:bottom w:val="none" w:sz="0" w:space="0" w:color="auto"/>
        <w:right w:val="none" w:sz="0" w:space="0" w:color="auto"/>
      </w:divBdr>
    </w:div>
    <w:div w:id="1964190429">
      <w:bodyDiv w:val="1"/>
      <w:marLeft w:val="0"/>
      <w:marRight w:val="0"/>
      <w:marTop w:val="0"/>
      <w:marBottom w:val="0"/>
      <w:divBdr>
        <w:top w:val="none" w:sz="0" w:space="0" w:color="auto"/>
        <w:left w:val="none" w:sz="0" w:space="0" w:color="auto"/>
        <w:bottom w:val="none" w:sz="0" w:space="0" w:color="auto"/>
        <w:right w:val="none" w:sz="0" w:space="0" w:color="auto"/>
      </w:divBdr>
    </w:div>
    <w:div w:id="1987780556">
      <w:bodyDiv w:val="1"/>
      <w:marLeft w:val="0"/>
      <w:marRight w:val="0"/>
      <w:marTop w:val="0"/>
      <w:marBottom w:val="0"/>
      <w:divBdr>
        <w:top w:val="none" w:sz="0" w:space="0" w:color="auto"/>
        <w:left w:val="none" w:sz="0" w:space="0" w:color="auto"/>
        <w:bottom w:val="none" w:sz="0" w:space="0" w:color="auto"/>
        <w:right w:val="none" w:sz="0" w:space="0" w:color="auto"/>
      </w:divBdr>
    </w:div>
    <w:div w:id="1999648473">
      <w:bodyDiv w:val="1"/>
      <w:marLeft w:val="0"/>
      <w:marRight w:val="0"/>
      <w:marTop w:val="0"/>
      <w:marBottom w:val="0"/>
      <w:divBdr>
        <w:top w:val="none" w:sz="0" w:space="0" w:color="auto"/>
        <w:left w:val="none" w:sz="0" w:space="0" w:color="auto"/>
        <w:bottom w:val="none" w:sz="0" w:space="0" w:color="auto"/>
        <w:right w:val="none" w:sz="0" w:space="0" w:color="auto"/>
      </w:divBdr>
    </w:div>
    <w:div w:id="2002078273">
      <w:bodyDiv w:val="1"/>
      <w:marLeft w:val="0"/>
      <w:marRight w:val="0"/>
      <w:marTop w:val="0"/>
      <w:marBottom w:val="0"/>
      <w:divBdr>
        <w:top w:val="none" w:sz="0" w:space="0" w:color="auto"/>
        <w:left w:val="none" w:sz="0" w:space="0" w:color="auto"/>
        <w:bottom w:val="none" w:sz="0" w:space="0" w:color="auto"/>
        <w:right w:val="none" w:sz="0" w:space="0" w:color="auto"/>
      </w:divBdr>
    </w:div>
    <w:div w:id="2008629903">
      <w:bodyDiv w:val="1"/>
      <w:marLeft w:val="0"/>
      <w:marRight w:val="0"/>
      <w:marTop w:val="0"/>
      <w:marBottom w:val="0"/>
      <w:divBdr>
        <w:top w:val="none" w:sz="0" w:space="0" w:color="auto"/>
        <w:left w:val="none" w:sz="0" w:space="0" w:color="auto"/>
        <w:bottom w:val="none" w:sz="0" w:space="0" w:color="auto"/>
        <w:right w:val="none" w:sz="0" w:space="0" w:color="auto"/>
      </w:divBdr>
      <w:divsChild>
        <w:div w:id="545141414">
          <w:marLeft w:val="0"/>
          <w:marRight w:val="0"/>
          <w:marTop w:val="0"/>
          <w:marBottom w:val="0"/>
          <w:divBdr>
            <w:top w:val="none" w:sz="0" w:space="0" w:color="auto"/>
            <w:left w:val="none" w:sz="0" w:space="0" w:color="auto"/>
            <w:bottom w:val="none" w:sz="0" w:space="0" w:color="auto"/>
            <w:right w:val="none" w:sz="0" w:space="0" w:color="auto"/>
          </w:divBdr>
          <w:divsChild>
            <w:div w:id="1122454624">
              <w:marLeft w:val="0"/>
              <w:marRight w:val="0"/>
              <w:marTop w:val="0"/>
              <w:marBottom w:val="0"/>
              <w:divBdr>
                <w:top w:val="none" w:sz="0" w:space="0" w:color="auto"/>
                <w:left w:val="none" w:sz="0" w:space="0" w:color="auto"/>
                <w:bottom w:val="none" w:sz="0" w:space="0" w:color="auto"/>
                <w:right w:val="none" w:sz="0" w:space="0" w:color="auto"/>
              </w:divBdr>
            </w:div>
          </w:divsChild>
        </w:div>
        <w:div w:id="862283147">
          <w:marLeft w:val="0"/>
          <w:marRight w:val="0"/>
          <w:marTop w:val="0"/>
          <w:marBottom w:val="0"/>
          <w:divBdr>
            <w:top w:val="none" w:sz="0" w:space="0" w:color="auto"/>
            <w:left w:val="none" w:sz="0" w:space="0" w:color="auto"/>
            <w:bottom w:val="none" w:sz="0" w:space="0" w:color="auto"/>
            <w:right w:val="none" w:sz="0" w:space="0" w:color="auto"/>
          </w:divBdr>
          <w:divsChild>
            <w:div w:id="1729953840">
              <w:marLeft w:val="0"/>
              <w:marRight w:val="0"/>
              <w:marTop w:val="0"/>
              <w:marBottom w:val="0"/>
              <w:divBdr>
                <w:top w:val="none" w:sz="0" w:space="0" w:color="auto"/>
                <w:left w:val="none" w:sz="0" w:space="0" w:color="auto"/>
                <w:bottom w:val="none" w:sz="0" w:space="0" w:color="auto"/>
                <w:right w:val="none" w:sz="0" w:space="0" w:color="auto"/>
              </w:divBdr>
            </w:div>
          </w:divsChild>
        </w:div>
        <w:div w:id="1299798099">
          <w:marLeft w:val="0"/>
          <w:marRight w:val="0"/>
          <w:marTop w:val="0"/>
          <w:marBottom w:val="0"/>
          <w:divBdr>
            <w:top w:val="none" w:sz="0" w:space="0" w:color="auto"/>
            <w:left w:val="none" w:sz="0" w:space="0" w:color="auto"/>
            <w:bottom w:val="none" w:sz="0" w:space="0" w:color="auto"/>
            <w:right w:val="none" w:sz="0" w:space="0" w:color="auto"/>
          </w:divBdr>
          <w:divsChild>
            <w:div w:id="293945279">
              <w:marLeft w:val="0"/>
              <w:marRight w:val="0"/>
              <w:marTop w:val="0"/>
              <w:marBottom w:val="0"/>
              <w:divBdr>
                <w:top w:val="none" w:sz="0" w:space="0" w:color="auto"/>
                <w:left w:val="none" w:sz="0" w:space="0" w:color="auto"/>
                <w:bottom w:val="none" w:sz="0" w:space="0" w:color="auto"/>
                <w:right w:val="none" w:sz="0" w:space="0" w:color="auto"/>
              </w:divBdr>
            </w:div>
            <w:div w:id="365906007">
              <w:marLeft w:val="0"/>
              <w:marRight w:val="0"/>
              <w:marTop w:val="0"/>
              <w:marBottom w:val="0"/>
              <w:divBdr>
                <w:top w:val="none" w:sz="0" w:space="0" w:color="auto"/>
                <w:left w:val="none" w:sz="0" w:space="0" w:color="auto"/>
                <w:bottom w:val="none" w:sz="0" w:space="0" w:color="auto"/>
                <w:right w:val="none" w:sz="0" w:space="0" w:color="auto"/>
              </w:divBdr>
              <w:divsChild>
                <w:div w:id="36205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10195">
          <w:marLeft w:val="0"/>
          <w:marRight w:val="0"/>
          <w:marTop w:val="0"/>
          <w:marBottom w:val="0"/>
          <w:divBdr>
            <w:top w:val="none" w:sz="0" w:space="0" w:color="auto"/>
            <w:left w:val="none" w:sz="0" w:space="0" w:color="auto"/>
            <w:bottom w:val="none" w:sz="0" w:space="0" w:color="auto"/>
            <w:right w:val="none" w:sz="0" w:space="0" w:color="auto"/>
          </w:divBdr>
          <w:divsChild>
            <w:div w:id="28575483">
              <w:marLeft w:val="0"/>
              <w:marRight w:val="0"/>
              <w:marTop w:val="0"/>
              <w:marBottom w:val="0"/>
              <w:divBdr>
                <w:top w:val="none" w:sz="0" w:space="0" w:color="auto"/>
                <w:left w:val="none" w:sz="0" w:space="0" w:color="auto"/>
                <w:bottom w:val="none" w:sz="0" w:space="0" w:color="auto"/>
                <w:right w:val="none" w:sz="0" w:space="0" w:color="auto"/>
              </w:divBdr>
            </w:div>
          </w:divsChild>
        </w:div>
        <w:div w:id="1849906777">
          <w:marLeft w:val="0"/>
          <w:marRight w:val="0"/>
          <w:marTop w:val="0"/>
          <w:marBottom w:val="0"/>
          <w:divBdr>
            <w:top w:val="none" w:sz="0" w:space="0" w:color="auto"/>
            <w:left w:val="none" w:sz="0" w:space="0" w:color="auto"/>
            <w:bottom w:val="none" w:sz="0" w:space="0" w:color="auto"/>
            <w:right w:val="none" w:sz="0" w:space="0" w:color="auto"/>
          </w:divBdr>
          <w:divsChild>
            <w:div w:id="66251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32695">
      <w:bodyDiv w:val="1"/>
      <w:marLeft w:val="0"/>
      <w:marRight w:val="0"/>
      <w:marTop w:val="0"/>
      <w:marBottom w:val="0"/>
      <w:divBdr>
        <w:top w:val="none" w:sz="0" w:space="0" w:color="auto"/>
        <w:left w:val="none" w:sz="0" w:space="0" w:color="auto"/>
        <w:bottom w:val="none" w:sz="0" w:space="0" w:color="auto"/>
        <w:right w:val="none" w:sz="0" w:space="0" w:color="auto"/>
      </w:divBdr>
    </w:div>
    <w:div w:id="2104720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93.emf"/><Relationship Id="rId21" Type="http://schemas.openxmlformats.org/officeDocument/2006/relationships/image" Target="media/image9.emf"/><Relationship Id="rId42" Type="http://schemas.openxmlformats.org/officeDocument/2006/relationships/image" Target="media/image28.emf"/><Relationship Id="rId63" Type="http://schemas.openxmlformats.org/officeDocument/2006/relationships/image" Target="media/image46.emf"/><Relationship Id="rId84" Type="http://schemas.openxmlformats.org/officeDocument/2006/relationships/image" Target="media/image65.emf"/><Relationship Id="rId138" Type="http://schemas.openxmlformats.org/officeDocument/2006/relationships/image" Target="media/image114.emf"/><Relationship Id="rId107" Type="http://schemas.openxmlformats.org/officeDocument/2006/relationships/image" Target="media/image85.emf"/><Relationship Id="rId11" Type="http://schemas.openxmlformats.org/officeDocument/2006/relationships/footer" Target="footer2.xml"/><Relationship Id="rId32" Type="http://schemas.openxmlformats.org/officeDocument/2006/relationships/image" Target="media/image18.emf"/><Relationship Id="rId37" Type="http://schemas.openxmlformats.org/officeDocument/2006/relationships/image" Target="media/image23.emf"/><Relationship Id="rId53" Type="http://schemas.openxmlformats.org/officeDocument/2006/relationships/image" Target="media/image36.emf"/><Relationship Id="rId58" Type="http://schemas.openxmlformats.org/officeDocument/2006/relationships/image" Target="media/image41.emf"/><Relationship Id="rId74" Type="http://schemas.openxmlformats.org/officeDocument/2006/relationships/image" Target="media/image57.emf"/><Relationship Id="rId79" Type="http://schemas.openxmlformats.org/officeDocument/2006/relationships/image" Target="media/image61.emf"/><Relationship Id="rId102" Type="http://schemas.openxmlformats.org/officeDocument/2006/relationships/image" Target="media/image82.tmp"/><Relationship Id="rId123" Type="http://schemas.openxmlformats.org/officeDocument/2006/relationships/image" Target="media/image99.emf"/><Relationship Id="rId128" Type="http://schemas.openxmlformats.org/officeDocument/2006/relationships/image" Target="media/image104.emf"/><Relationship Id="rId5" Type="http://schemas.openxmlformats.org/officeDocument/2006/relationships/webSettings" Target="webSettings.xml"/><Relationship Id="rId90" Type="http://schemas.openxmlformats.org/officeDocument/2006/relationships/image" Target="media/image70.emf"/><Relationship Id="rId95" Type="http://schemas.openxmlformats.org/officeDocument/2006/relationships/image" Target="media/image75.emf"/><Relationship Id="rId22" Type="http://schemas.openxmlformats.org/officeDocument/2006/relationships/image" Target="media/image10.emf"/><Relationship Id="rId27" Type="http://schemas.openxmlformats.org/officeDocument/2006/relationships/footer" Target="footer4.xml"/><Relationship Id="rId43" Type="http://schemas.openxmlformats.org/officeDocument/2006/relationships/image" Target="media/image29.emf"/><Relationship Id="rId48" Type="http://schemas.openxmlformats.org/officeDocument/2006/relationships/footer" Target="footer7.xml"/><Relationship Id="rId64" Type="http://schemas.openxmlformats.org/officeDocument/2006/relationships/image" Target="media/image47.emf"/><Relationship Id="rId69" Type="http://schemas.openxmlformats.org/officeDocument/2006/relationships/image" Target="media/image52.emf"/><Relationship Id="rId113" Type="http://schemas.openxmlformats.org/officeDocument/2006/relationships/image" Target="media/image90.emf"/><Relationship Id="rId118" Type="http://schemas.openxmlformats.org/officeDocument/2006/relationships/image" Target="media/image94.emf"/><Relationship Id="rId134" Type="http://schemas.openxmlformats.org/officeDocument/2006/relationships/image" Target="media/image110.emf"/><Relationship Id="rId139" Type="http://schemas.openxmlformats.org/officeDocument/2006/relationships/footer" Target="footer13.xml"/><Relationship Id="rId80" Type="http://schemas.openxmlformats.org/officeDocument/2006/relationships/image" Target="media/image62.emf"/><Relationship Id="rId85" Type="http://schemas.openxmlformats.org/officeDocument/2006/relationships/image" Target="media/image66.emf"/><Relationship Id="rId12" Type="http://schemas.openxmlformats.org/officeDocument/2006/relationships/image" Target="media/image1.emf"/><Relationship Id="rId17" Type="http://schemas.openxmlformats.org/officeDocument/2006/relationships/image" Target="media/image5.emf"/><Relationship Id="rId33" Type="http://schemas.openxmlformats.org/officeDocument/2006/relationships/image" Target="media/image19.emf"/><Relationship Id="rId38" Type="http://schemas.openxmlformats.org/officeDocument/2006/relationships/image" Target="media/image24.emf"/><Relationship Id="rId59" Type="http://schemas.openxmlformats.org/officeDocument/2006/relationships/image" Target="media/image42.emf"/><Relationship Id="rId103" Type="http://schemas.openxmlformats.org/officeDocument/2006/relationships/image" Target="media/image83.emf"/><Relationship Id="rId108" Type="http://schemas.openxmlformats.org/officeDocument/2006/relationships/image" Target="media/image86.emf"/><Relationship Id="rId124" Type="http://schemas.openxmlformats.org/officeDocument/2006/relationships/image" Target="media/image100.emf"/><Relationship Id="rId129" Type="http://schemas.openxmlformats.org/officeDocument/2006/relationships/image" Target="media/image105.emf"/><Relationship Id="rId54" Type="http://schemas.openxmlformats.org/officeDocument/2006/relationships/image" Target="media/image37.emf"/><Relationship Id="rId70" Type="http://schemas.openxmlformats.org/officeDocument/2006/relationships/image" Target="media/image53.emf"/><Relationship Id="rId75" Type="http://schemas.openxmlformats.org/officeDocument/2006/relationships/oleObject" Target="embeddings/oleObject2.bin"/><Relationship Id="rId91" Type="http://schemas.openxmlformats.org/officeDocument/2006/relationships/image" Target="media/image71.emf"/><Relationship Id="rId96" Type="http://schemas.openxmlformats.org/officeDocument/2006/relationships/image" Target="media/image76.emf"/><Relationship Id="rId140"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1.emf"/><Relationship Id="rId28" Type="http://schemas.openxmlformats.org/officeDocument/2006/relationships/footer" Target="footer5.xml"/><Relationship Id="rId49" Type="http://schemas.openxmlformats.org/officeDocument/2006/relationships/image" Target="media/image32.emf"/><Relationship Id="rId114" Type="http://schemas.openxmlformats.org/officeDocument/2006/relationships/image" Target="media/image91.emf"/><Relationship Id="rId119" Type="http://schemas.openxmlformats.org/officeDocument/2006/relationships/image" Target="media/image95.emf"/><Relationship Id="rId44" Type="http://schemas.openxmlformats.org/officeDocument/2006/relationships/image" Target="media/image30.emf"/><Relationship Id="rId60" Type="http://schemas.openxmlformats.org/officeDocument/2006/relationships/image" Target="media/image43.emf"/><Relationship Id="rId65" Type="http://schemas.openxmlformats.org/officeDocument/2006/relationships/image" Target="media/image48.emf"/><Relationship Id="rId81" Type="http://schemas.openxmlformats.org/officeDocument/2006/relationships/oleObject" Target="embeddings/oleObject3.bin"/><Relationship Id="rId86" Type="http://schemas.openxmlformats.org/officeDocument/2006/relationships/image" Target="media/image67.emf"/><Relationship Id="rId130" Type="http://schemas.openxmlformats.org/officeDocument/2006/relationships/image" Target="media/image106.emf"/><Relationship Id="rId135" Type="http://schemas.openxmlformats.org/officeDocument/2006/relationships/image" Target="media/image111.emf"/><Relationship Id="rId13" Type="http://schemas.openxmlformats.org/officeDocument/2006/relationships/footer" Target="footer3.xml"/><Relationship Id="rId18" Type="http://schemas.openxmlformats.org/officeDocument/2006/relationships/image" Target="media/image6.emf"/><Relationship Id="rId39" Type="http://schemas.openxmlformats.org/officeDocument/2006/relationships/image" Target="media/image25.emf"/><Relationship Id="rId109" Type="http://schemas.openxmlformats.org/officeDocument/2006/relationships/image" Target="media/image87.png"/><Relationship Id="rId34" Type="http://schemas.openxmlformats.org/officeDocument/2006/relationships/image" Target="media/image20.emf"/><Relationship Id="rId50" Type="http://schemas.openxmlformats.org/officeDocument/2006/relationships/image" Target="media/image33.emf"/><Relationship Id="rId55" Type="http://schemas.openxmlformats.org/officeDocument/2006/relationships/image" Target="media/image38.emf"/><Relationship Id="rId76" Type="http://schemas.openxmlformats.org/officeDocument/2006/relationships/image" Target="media/image58.emf"/><Relationship Id="rId97" Type="http://schemas.openxmlformats.org/officeDocument/2006/relationships/image" Target="media/image77.emf"/><Relationship Id="rId104" Type="http://schemas.openxmlformats.org/officeDocument/2006/relationships/footer" Target="footer9.xml"/><Relationship Id="rId120" Type="http://schemas.openxmlformats.org/officeDocument/2006/relationships/image" Target="media/image96.emf"/><Relationship Id="rId125" Type="http://schemas.openxmlformats.org/officeDocument/2006/relationships/image" Target="media/image101.emf"/><Relationship Id="rId141"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54.emf"/><Relationship Id="rId92" Type="http://schemas.openxmlformats.org/officeDocument/2006/relationships/image" Target="media/image72.emf"/><Relationship Id="rId2" Type="http://schemas.openxmlformats.org/officeDocument/2006/relationships/numbering" Target="numbering.xml"/><Relationship Id="rId29" Type="http://schemas.openxmlformats.org/officeDocument/2006/relationships/image" Target="media/image15.emf"/><Relationship Id="rId24" Type="http://schemas.openxmlformats.org/officeDocument/2006/relationships/image" Target="media/image12.emf"/><Relationship Id="rId40" Type="http://schemas.openxmlformats.org/officeDocument/2006/relationships/image" Target="media/image26.emf"/><Relationship Id="rId45" Type="http://schemas.openxmlformats.org/officeDocument/2006/relationships/footer" Target="footer6.xml"/><Relationship Id="rId66" Type="http://schemas.openxmlformats.org/officeDocument/2006/relationships/image" Target="media/image49.emf"/><Relationship Id="rId87" Type="http://schemas.openxmlformats.org/officeDocument/2006/relationships/footer" Target="footer8.xml"/><Relationship Id="rId110" Type="http://schemas.openxmlformats.org/officeDocument/2006/relationships/image" Target="media/image88.emf"/><Relationship Id="rId115" Type="http://schemas.openxmlformats.org/officeDocument/2006/relationships/image" Target="media/image92.emf"/><Relationship Id="rId131" Type="http://schemas.openxmlformats.org/officeDocument/2006/relationships/image" Target="media/image107.emf"/><Relationship Id="rId136" Type="http://schemas.openxmlformats.org/officeDocument/2006/relationships/image" Target="media/image112.emf"/><Relationship Id="rId61" Type="http://schemas.openxmlformats.org/officeDocument/2006/relationships/image" Target="media/image44.emf"/><Relationship Id="rId82" Type="http://schemas.openxmlformats.org/officeDocument/2006/relationships/image" Target="media/image63.emf"/><Relationship Id="rId19" Type="http://schemas.openxmlformats.org/officeDocument/2006/relationships/image" Target="media/image7.emf"/><Relationship Id="rId14" Type="http://schemas.openxmlformats.org/officeDocument/2006/relationships/image" Target="media/image2.emf"/><Relationship Id="rId30" Type="http://schemas.openxmlformats.org/officeDocument/2006/relationships/image" Target="media/image16.emf"/><Relationship Id="rId35" Type="http://schemas.openxmlformats.org/officeDocument/2006/relationships/image" Target="media/image21.emf"/><Relationship Id="rId56" Type="http://schemas.openxmlformats.org/officeDocument/2006/relationships/image" Target="media/image39.emf"/><Relationship Id="rId77" Type="http://schemas.openxmlformats.org/officeDocument/2006/relationships/image" Target="media/image59.emf"/><Relationship Id="rId100" Type="http://schemas.openxmlformats.org/officeDocument/2006/relationships/image" Target="media/image80.emf"/><Relationship Id="rId105" Type="http://schemas.openxmlformats.org/officeDocument/2006/relationships/footer" Target="footer10.xml"/><Relationship Id="rId126" Type="http://schemas.openxmlformats.org/officeDocument/2006/relationships/image" Target="media/image102.emf"/><Relationship Id="rId8" Type="http://schemas.openxmlformats.org/officeDocument/2006/relationships/header" Target="header1.xml"/><Relationship Id="rId51" Type="http://schemas.openxmlformats.org/officeDocument/2006/relationships/image" Target="media/image34.emf"/><Relationship Id="rId72" Type="http://schemas.openxmlformats.org/officeDocument/2006/relationships/image" Target="media/image55.emf"/><Relationship Id="rId93" Type="http://schemas.openxmlformats.org/officeDocument/2006/relationships/image" Target="media/image73.emf"/><Relationship Id="rId98" Type="http://schemas.openxmlformats.org/officeDocument/2006/relationships/image" Target="media/image78.emf"/><Relationship Id="rId121" Type="http://schemas.openxmlformats.org/officeDocument/2006/relationships/image" Target="media/image97.emf"/><Relationship Id="rId142"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13.emf"/><Relationship Id="rId46" Type="http://schemas.openxmlformats.org/officeDocument/2006/relationships/image" Target="media/image31.wmf"/><Relationship Id="rId67" Type="http://schemas.openxmlformats.org/officeDocument/2006/relationships/image" Target="media/image50.emf"/><Relationship Id="rId116" Type="http://schemas.openxmlformats.org/officeDocument/2006/relationships/footer" Target="footer12.xml"/><Relationship Id="rId137" Type="http://schemas.openxmlformats.org/officeDocument/2006/relationships/image" Target="media/image113.emf"/><Relationship Id="rId20" Type="http://schemas.openxmlformats.org/officeDocument/2006/relationships/image" Target="media/image8.emf"/><Relationship Id="rId41" Type="http://schemas.openxmlformats.org/officeDocument/2006/relationships/image" Target="media/image27.emf"/><Relationship Id="rId62" Type="http://schemas.openxmlformats.org/officeDocument/2006/relationships/image" Target="media/image45.emf"/><Relationship Id="rId83" Type="http://schemas.openxmlformats.org/officeDocument/2006/relationships/image" Target="media/image64.emf"/><Relationship Id="rId88" Type="http://schemas.openxmlformats.org/officeDocument/2006/relationships/image" Target="media/image68.emf"/><Relationship Id="rId111" Type="http://schemas.openxmlformats.org/officeDocument/2006/relationships/footer" Target="footer11.xml"/><Relationship Id="rId132" Type="http://schemas.openxmlformats.org/officeDocument/2006/relationships/image" Target="media/image108.emf"/><Relationship Id="rId15" Type="http://schemas.openxmlformats.org/officeDocument/2006/relationships/image" Target="media/image3.emf"/><Relationship Id="rId36" Type="http://schemas.openxmlformats.org/officeDocument/2006/relationships/image" Target="media/image22.emf"/><Relationship Id="rId57" Type="http://schemas.openxmlformats.org/officeDocument/2006/relationships/image" Target="media/image40.emf"/><Relationship Id="rId106" Type="http://schemas.openxmlformats.org/officeDocument/2006/relationships/image" Target="media/image84.emf"/><Relationship Id="rId127" Type="http://schemas.openxmlformats.org/officeDocument/2006/relationships/image" Target="media/image103.emf"/><Relationship Id="rId10" Type="http://schemas.openxmlformats.org/officeDocument/2006/relationships/header" Target="header2.xml"/><Relationship Id="rId31" Type="http://schemas.openxmlformats.org/officeDocument/2006/relationships/image" Target="media/image17.emf"/><Relationship Id="rId52" Type="http://schemas.openxmlformats.org/officeDocument/2006/relationships/image" Target="media/image35.emf"/><Relationship Id="rId73" Type="http://schemas.openxmlformats.org/officeDocument/2006/relationships/image" Target="media/image56.emf"/><Relationship Id="rId78" Type="http://schemas.openxmlformats.org/officeDocument/2006/relationships/image" Target="media/image60.emf"/><Relationship Id="rId94" Type="http://schemas.openxmlformats.org/officeDocument/2006/relationships/image" Target="media/image74.emf"/><Relationship Id="rId99" Type="http://schemas.openxmlformats.org/officeDocument/2006/relationships/image" Target="media/image79.emf"/><Relationship Id="rId101" Type="http://schemas.openxmlformats.org/officeDocument/2006/relationships/image" Target="media/image81.emf"/><Relationship Id="rId122" Type="http://schemas.openxmlformats.org/officeDocument/2006/relationships/image" Target="media/image98.emf"/><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image" Target="media/image14.emf"/><Relationship Id="rId47" Type="http://schemas.openxmlformats.org/officeDocument/2006/relationships/oleObject" Target="embeddings/oleObject1.bin"/><Relationship Id="rId68" Type="http://schemas.openxmlformats.org/officeDocument/2006/relationships/image" Target="media/image51.emf"/><Relationship Id="rId89" Type="http://schemas.openxmlformats.org/officeDocument/2006/relationships/image" Target="media/image69.emf"/><Relationship Id="rId112" Type="http://schemas.openxmlformats.org/officeDocument/2006/relationships/image" Target="media/image89.emf"/><Relationship Id="rId133" Type="http://schemas.openxmlformats.org/officeDocument/2006/relationships/image" Target="media/image109.emf"/><Relationship Id="rId16" Type="http://schemas.openxmlformats.org/officeDocument/2006/relationships/image" Target="media/image4.emf"/></Relationships>
</file>

<file path=word/_rels/footnotes.xml.rels><?xml version="1.0" encoding="UTF-8" standalone="yes"?>
<Relationships xmlns="http://schemas.openxmlformats.org/package/2006/relationships"><Relationship Id="rId2" Type="http://schemas.openxmlformats.org/officeDocument/2006/relationships/hyperlink" Target="https://siteselection.com/site-selectors-survey-why-site-selectors-love-the-south/?utm_source=InvestorWatch&amp;utm_medium=email&amp;utm_campaign=Editorialllll" TargetMode="External"/><Relationship Id="rId1" Type="http://schemas.openxmlformats.org/officeDocument/2006/relationships/hyperlink" Target="https://georgia.org/press-release/gov-kemp-celebrates-top-state-business-ranking-workforce-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6907B-6689-4D6C-8067-4D5567B3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156</Pages>
  <Words>23042</Words>
  <Characters>131340</Characters>
  <Application>Microsoft Office Word</Application>
  <DocSecurity>0</DocSecurity>
  <Lines>1094</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154074</CharactersWithSpaces>
  <SharedDoc>false</SharedDoc>
  <HLinks>
    <vt:vector size="612" baseType="variant">
      <vt:variant>
        <vt:i4>1835067</vt:i4>
      </vt:variant>
      <vt:variant>
        <vt:i4>488</vt:i4>
      </vt:variant>
      <vt:variant>
        <vt:i4>0</vt:i4>
      </vt:variant>
      <vt:variant>
        <vt:i4>5</vt:i4>
      </vt:variant>
      <vt:variant>
        <vt:lpwstr/>
      </vt:variant>
      <vt:variant>
        <vt:lpwstr>_Toc188257761</vt:lpwstr>
      </vt:variant>
      <vt:variant>
        <vt:i4>1835067</vt:i4>
      </vt:variant>
      <vt:variant>
        <vt:i4>482</vt:i4>
      </vt:variant>
      <vt:variant>
        <vt:i4>0</vt:i4>
      </vt:variant>
      <vt:variant>
        <vt:i4>5</vt:i4>
      </vt:variant>
      <vt:variant>
        <vt:lpwstr/>
      </vt:variant>
      <vt:variant>
        <vt:lpwstr>_Toc188257760</vt:lpwstr>
      </vt:variant>
      <vt:variant>
        <vt:i4>2031675</vt:i4>
      </vt:variant>
      <vt:variant>
        <vt:i4>476</vt:i4>
      </vt:variant>
      <vt:variant>
        <vt:i4>0</vt:i4>
      </vt:variant>
      <vt:variant>
        <vt:i4>5</vt:i4>
      </vt:variant>
      <vt:variant>
        <vt:lpwstr/>
      </vt:variant>
      <vt:variant>
        <vt:lpwstr>_Toc188257759</vt:lpwstr>
      </vt:variant>
      <vt:variant>
        <vt:i4>2031675</vt:i4>
      </vt:variant>
      <vt:variant>
        <vt:i4>470</vt:i4>
      </vt:variant>
      <vt:variant>
        <vt:i4>0</vt:i4>
      </vt:variant>
      <vt:variant>
        <vt:i4>5</vt:i4>
      </vt:variant>
      <vt:variant>
        <vt:lpwstr/>
      </vt:variant>
      <vt:variant>
        <vt:lpwstr>_Toc188257758</vt:lpwstr>
      </vt:variant>
      <vt:variant>
        <vt:i4>2031675</vt:i4>
      </vt:variant>
      <vt:variant>
        <vt:i4>464</vt:i4>
      </vt:variant>
      <vt:variant>
        <vt:i4>0</vt:i4>
      </vt:variant>
      <vt:variant>
        <vt:i4>5</vt:i4>
      </vt:variant>
      <vt:variant>
        <vt:lpwstr/>
      </vt:variant>
      <vt:variant>
        <vt:lpwstr>_Toc188257757</vt:lpwstr>
      </vt:variant>
      <vt:variant>
        <vt:i4>2031675</vt:i4>
      </vt:variant>
      <vt:variant>
        <vt:i4>458</vt:i4>
      </vt:variant>
      <vt:variant>
        <vt:i4>0</vt:i4>
      </vt:variant>
      <vt:variant>
        <vt:i4>5</vt:i4>
      </vt:variant>
      <vt:variant>
        <vt:lpwstr/>
      </vt:variant>
      <vt:variant>
        <vt:lpwstr>_Toc188257756</vt:lpwstr>
      </vt:variant>
      <vt:variant>
        <vt:i4>2031675</vt:i4>
      </vt:variant>
      <vt:variant>
        <vt:i4>452</vt:i4>
      </vt:variant>
      <vt:variant>
        <vt:i4>0</vt:i4>
      </vt:variant>
      <vt:variant>
        <vt:i4>5</vt:i4>
      </vt:variant>
      <vt:variant>
        <vt:lpwstr/>
      </vt:variant>
      <vt:variant>
        <vt:lpwstr>_Toc188257755</vt:lpwstr>
      </vt:variant>
      <vt:variant>
        <vt:i4>2031675</vt:i4>
      </vt:variant>
      <vt:variant>
        <vt:i4>446</vt:i4>
      </vt:variant>
      <vt:variant>
        <vt:i4>0</vt:i4>
      </vt:variant>
      <vt:variant>
        <vt:i4>5</vt:i4>
      </vt:variant>
      <vt:variant>
        <vt:lpwstr/>
      </vt:variant>
      <vt:variant>
        <vt:lpwstr>_Toc188257754</vt:lpwstr>
      </vt:variant>
      <vt:variant>
        <vt:i4>2031675</vt:i4>
      </vt:variant>
      <vt:variant>
        <vt:i4>440</vt:i4>
      </vt:variant>
      <vt:variant>
        <vt:i4>0</vt:i4>
      </vt:variant>
      <vt:variant>
        <vt:i4>5</vt:i4>
      </vt:variant>
      <vt:variant>
        <vt:lpwstr/>
      </vt:variant>
      <vt:variant>
        <vt:lpwstr>_Toc188257753</vt:lpwstr>
      </vt:variant>
      <vt:variant>
        <vt:i4>2031675</vt:i4>
      </vt:variant>
      <vt:variant>
        <vt:i4>434</vt:i4>
      </vt:variant>
      <vt:variant>
        <vt:i4>0</vt:i4>
      </vt:variant>
      <vt:variant>
        <vt:i4>5</vt:i4>
      </vt:variant>
      <vt:variant>
        <vt:lpwstr/>
      </vt:variant>
      <vt:variant>
        <vt:lpwstr>_Toc188257752</vt:lpwstr>
      </vt:variant>
      <vt:variant>
        <vt:i4>2031675</vt:i4>
      </vt:variant>
      <vt:variant>
        <vt:i4>428</vt:i4>
      </vt:variant>
      <vt:variant>
        <vt:i4>0</vt:i4>
      </vt:variant>
      <vt:variant>
        <vt:i4>5</vt:i4>
      </vt:variant>
      <vt:variant>
        <vt:lpwstr/>
      </vt:variant>
      <vt:variant>
        <vt:lpwstr>_Toc188257751</vt:lpwstr>
      </vt:variant>
      <vt:variant>
        <vt:i4>2031675</vt:i4>
      </vt:variant>
      <vt:variant>
        <vt:i4>422</vt:i4>
      </vt:variant>
      <vt:variant>
        <vt:i4>0</vt:i4>
      </vt:variant>
      <vt:variant>
        <vt:i4>5</vt:i4>
      </vt:variant>
      <vt:variant>
        <vt:lpwstr/>
      </vt:variant>
      <vt:variant>
        <vt:lpwstr>_Toc188257750</vt:lpwstr>
      </vt:variant>
      <vt:variant>
        <vt:i4>1966139</vt:i4>
      </vt:variant>
      <vt:variant>
        <vt:i4>416</vt:i4>
      </vt:variant>
      <vt:variant>
        <vt:i4>0</vt:i4>
      </vt:variant>
      <vt:variant>
        <vt:i4>5</vt:i4>
      </vt:variant>
      <vt:variant>
        <vt:lpwstr/>
      </vt:variant>
      <vt:variant>
        <vt:lpwstr>_Toc188257749</vt:lpwstr>
      </vt:variant>
      <vt:variant>
        <vt:i4>1966139</vt:i4>
      </vt:variant>
      <vt:variant>
        <vt:i4>410</vt:i4>
      </vt:variant>
      <vt:variant>
        <vt:i4>0</vt:i4>
      </vt:variant>
      <vt:variant>
        <vt:i4>5</vt:i4>
      </vt:variant>
      <vt:variant>
        <vt:lpwstr/>
      </vt:variant>
      <vt:variant>
        <vt:lpwstr>_Toc188257748</vt:lpwstr>
      </vt:variant>
      <vt:variant>
        <vt:i4>1966139</vt:i4>
      </vt:variant>
      <vt:variant>
        <vt:i4>404</vt:i4>
      </vt:variant>
      <vt:variant>
        <vt:i4>0</vt:i4>
      </vt:variant>
      <vt:variant>
        <vt:i4>5</vt:i4>
      </vt:variant>
      <vt:variant>
        <vt:lpwstr/>
      </vt:variant>
      <vt:variant>
        <vt:lpwstr>_Toc188257747</vt:lpwstr>
      </vt:variant>
      <vt:variant>
        <vt:i4>1966139</vt:i4>
      </vt:variant>
      <vt:variant>
        <vt:i4>398</vt:i4>
      </vt:variant>
      <vt:variant>
        <vt:i4>0</vt:i4>
      </vt:variant>
      <vt:variant>
        <vt:i4>5</vt:i4>
      </vt:variant>
      <vt:variant>
        <vt:lpwstr/>
      </vt:variant>
      <vt:variant>
        <vt:lpwstr>_Toc188257746</vt:lpwstr>
      </vt:variant>
      <vt:variant>
        <vt:i4>1966139</vt:i4>
      </vt:variant>
      <vt:variant>
        <vt:i4>392</vt:i4>
      </vt:variant>
      <vt:variant>
        <vt:i4>0</vt:i4>
      </vt:variant>
      <vt:variant>
        <vt:i4>5</vt:i4>
      </vt:variant>
      <vt:variant>
        <vt:lpwstr/>
      </vt:variant>
      <vt:variant>
        <vt:lpwstr>_Toc188257745</vt:lpwstr>
      </vt:variant>
      <vt:variant>
        <vt:i4>1966139</vt:i4>
      </vt:variant>
      <vt:variant>
        <vt:i4>386</vt:i4>
      </vt:variant>
      <vt:variant>
        <vt:i4>0</vt:i4>
      </vt:variant>
      <vt:variant>
        <vt:i4>5</vt:i4>
      </vt:variant>
      <vt:variant>
        <vt:lpwstr/>
      </vt:variant>
      <vt:variant>
        <vt:lpwstr>_Toc188257744</vt:lpwstr>
      </vt:variant>
      <vt:variant>
        <vt:i4>1966139</vt:i4>
      </vt:variant>
      <vt:variant>
        <vt:i4>380</vt:i4>
      </vt:variant>
      <vt:variant>
        <vt:i4>0</vt:i4>
      </vt:variant>
      <vt:variant>
        <vt:i4>5</vt:i4>
      </vt:variant>
      <vt:variant>
        <vt:lpwstr/>
      </vt:variant>
      <vt:variant>
        <vt:lpwstr>_Toc188257743</vt:lpwstr>
      </vt:variant>
      <vt:variant>
        <vt:i4>1966139</vt:i4>
      </vt:variant>
      <vt:variant>
        <vt:i4>374</vt:i4>
      </vt:variant>
      <vt:variant>
        <vt:i4>0</vt:i4>
      </vt:variant>
      <vt:variant>
        <vt:i4>5</vt:i4>
      </vt:variant>
      <vt:variant>
        <vt:lpwstr/>
      </vt:variant>
      <vt:variant>
        <vt:lpwstr>_Toc188257742</vt:lpwstr>
      </vt:variant>
      <vt:variant>
        <vt:i4>1966139</vt:i4>
      </vt:variant>
      <vt:variant>
        <vt:i4>368</vt:i4>
      </vt:variant>
      <vt:variant>
        <vt:i4>0</vt:i4>
      </vt:variant>
      <vt:variant>
        <vt:i4>5</vt:i4>
      </vt:variant>
      <vt:variant>
        <vt:lpwstr/>
      </vt:variant>
      <vt:variant>
        <vt:lpwstr>_Toc188257741</vt:lpwstr>
      </vt:variant>
      <vt:variant>
        <vt:i4>1966139</vt:i4>
      </vt:variant>
      <vt:variant>
        <vt:i4>362</vt:i4>
      </vt:variant>
      <vt:variant>
        <vt:i4>0</vt:i4>
      </vt:variant>
      <vt:variant>
        <vt:i4>5</vt:i4>
      </vt:variant>
      <vt:variant>
        <vt:lpwstr/>
      </vt:variant>
      <vt:variant>
        <vt:lpwstr>_Toc188257740</vt:lpwstr>
      </vt:variant>
      <vt:variant>
        <vt:i4>1638459</vt:i4>
      </vt:variant>
      <vt:variant>
        <vt:i4>356</vt:i4>
      </vt:variant>
      <vt:variant>
        <vt:i4>0</vt:i4>
      </vt:variant>
      <vt:variant>
        <vt:i4>5</vt:i4>
      </vt:variant>
      <vt:variant>
        <vt:lpwstr/>
      </vt:variant>
      <vt:variant>
        <vt:lpwstr>_Toc188257739</vt:lpwstr>
      </vt:variant>
      <vt:variant>
        <vt:i4>1638459</vt:i4>
      </vt:variant>
      <vt:variant>
        <vt:i4>350</vt:i4>
      </vt:variant>
      <vt:variant>
        <vt:i4>0</vt:i4>
      </vt:variant>
      <vt:variant>
        <vt:i4>5</vt:i4>
      </vt:variant>
      <vt:variant>
        <vt:lpwstr/>
      </vt:variant>
      <vt:variant>
        <vt:lpwstr>_Toc188257738</vt:lpwstr>
      </vt:variant>
      <vt:variant>
        <vt:i4>1638459</vt:i4>
      </vt:variant>
      <vt:variant>
        <vt:i4>344</vt:i4>
      </vt:variant>
      <vt:variant>
        <vt:i4>0</vt:i4>
      </vt:variant>
      <vt:variant>
        <vt:i4>5</vt:i4>
      </vt:variant>
      <vt:variant>
        <vt:lpwstr/>
      </vt:variant>
      <vt:variant>
        <vt:lpwstr>_Toc188257737</vt:lpwstr>
      </vt:variant>
      <vt:variant>
        <vt:i4>1638459</vt:i4>
      </vt:variant>
      <vt:variant>
        <vt:i4>338</vt:i4>
      </vt:variant>
      <vt:variant>
        <vt:i4>0</vt:i4>
      </vt:variant>
      <vt:variant>
        <vt:i4>5</vt:i4>
      </vt:variant>
      <vt:variant>
        <vt:lpwstr/>
      </vt:variant>
      <vt:variant>
        <vt:lpwstr>_Toc188257736</vt:lpwstr>
      </vt:variant>
      <vt:variant>
        <vt:i4>1638459</vt:i4>
      </vt:variant>
      <vt:variant>
        <vt:i4>332</vt:i4>
      </vt:variant>
      <vt:variant>
        <vt:i4>0</vt:i4>
      </vt:variant>
      <vt:variant>
        <vt:i4>5</vt:i4>
      </vt:variant>
      <vt:variant>
        <vt:lpwstr/>
      </vt:variant>
      <vt:variant>
        <vt:lpwstr>_Toc188257735</vt:lpwstr>
      </vt:variant>
      <vt:variant>
        <vt:i4>1638459</vt:i4>
      </vt:variant>
      <vt:variant>
        <vt:i4>326</vt:i4>
      </vt:variant>
      <vt:variant>
        <vt:i4>0</vt:i4>
      </vt:variant>
      <vt:variant>
        <vt:i4>5</vt:i4>
      </vt:variant>
      <vt:variant>
        <vt:lpwstr/>
      </vt:variant>
      <vt:variant>
        <vt:lpwstr>_Toc188257734</vt:lpwstr>
      </vt:variant>
      <vt:variant>
        <vt:i4>1638459</vt:i4>
      </vt:variant>
      <vt:variant>
        <vt:i4>320</vt:i4>
      </vt:variant>
      <vt:variant>
        <vt:i4>0</vt:i4>
      </vt:variant>
      <vt:variant>
        <vt:i4>5</vt:i4>
      </vt:variant>
      <vt:variant>
        <vt:lpwstr/>
      </vt:variant>
      <vt:variant>
        <vt:lpwstr>_Toc188257733</vt:lpwstr>
      </vt:variant>
      <vt:variant>
        <vt:i4>1638459</vt:i4>
      </vt:variant>
      <vt:variant>
        <vt:i4>314</vt:i4>
      </vt:variant>
      <vt:variant>
        <vt:i4>0</vt:i4>
      </vt:variant>
      <vt:variant>
        <vt:i4>5</vt:i4>
      </vt:variant>
      <vt:variant>
        <vt:lpwstr/>
      </vt:variant>
      <vt:variant>
        <vt:lpwstr>_Toc188257732</vt:lpwstr>
      </vt:variant>
      <vt:variant>
        <vt:i4>1638459</vt:i4>
      </vt:variant>
      <vt:variant>
        <vt:i4>308</vt:i4>
      </vt:variant>
      <vt:variant>
        <vt:i4>0</vt:i4>
      </vt:variant>
      <vt:variant>
        <vt:i4>5</vt:i4>
      </vt:variant>
      <vt:variant>
        <vt:lpwstr/>
      </vt:variant>
      <vt:variant>
        <vt:lpwstr>_Toc188257731</vt:lpwstr>
      </vt:variant>
      <vt:variant>
        <vt:i4>1638459</vt:i4>
      </vt:variant>
      <vt:variant>
        <vt:i4>302</vt:i4>
      </vt:variant>
      <vt:variant>
        <vt:i4>0</vt:i4>
      </vt:variant>
      <vt:variant>
        <vt:i4>5</vt:i4>
      </vt:variant>
      <vt:variant>
        <vt:lpwstr/>
      </vt:variant>
      <vt:variant>
        <vt:lpwstr>_Toc188257730</vt:lpwstr>
      </vt:variant>
      <vt:variant>
        <vt:i4>1572923</vt:i4>
      </vt:variant>
      <vt:variant>
        <vt:i4>296</vt:i4>
      </vt:variant>
      <vt:variant>
        <vt:i4>0</vt:i4>
      </vt:variant>
      <vt:variant>
        <vt:i4>5</vt:i4>
      </vt:variant>
      <vt:variant>
        <vt:lpwstr/>
      </vt:variant>
      <vt:variant>
        <vt:lpwstr>_Toc188257729</vt:lpwstr>
      </vt:variant>
      <vt:variant>
        <vt:i4>1572923</vt:i4>
      </vt:variant>
      <vt:variant>
        <vt:i4>290</vt:i4>
      </vt:variant>
      <vt:variant>
        <vt:i4>0</vt:i4>
      </vt:variant>
      <vt:variant>
        <vt:i4>5</vt:i4>
      </vt:variant>
      <vt:variant>
        <vt:lpwstr/>
      </vt:variant>
      <vt:variant>
        <vt:lpwstr>_Toc188257728</vt:lpwstr>
      </vt:variant>
      <vt:variant>
        <vt:i4>1572923</vt:i4>
      </vt:variant>
      <vt:variant>
        <vt:i4>284</vt:i4>
      </vt:variant>
      <vt:variant>
        <vt:i4>0</vt:i4>
      </vt:variant>
      <vt:variant>
        <vt:i4>5</vt:i4>
      </vt:variant>
      <vt:variant>
        <vt:lpwstr/>
      </vt:variant>
      <vt:variant>
        <vt:lpwstr>_Toc188257727</vt:lpwstr>
      </vt:variant>
      <vt:variant>
        <vt:i4>1572923</vt:i4>
      </vt:variant>
      <vt:variant>
        <vt:i4>278</vt:i4>
      </vt:variant>
      <vt:variant>
        <vt:i4>0</vt:i4>
      </vt:variant>
      <vt:variant>
        <vt:i4>5</vt:i4>
      </vt:variant>
      <vt:variant>
        <vt:lpwstr/>
      </vt:variant>
      <vt:variant>
        <vt:lpwstr>_Toc188257726</vt:lpwstr>
      </vt:variant>
      <vt:variant>
        <vt:i4>1572923</vt:i4>
      </vt:variant>
      <vt:variant>
        <vt:i4>272</vt:i4>
      </vt:variant>
      <vt:variant>
        <vt:i4>0</vt:i4>
      </vt:variant>
      <vt:variant>
        <vt:i4>5</vt:i4>
      </vt:variant>
      <vt:variant>
        <vt:lpwstr/>
      </vt:variant>
      <vt:variant>
        <vt:lpwstr>_Toc188257725</vt:lpwstr>
      </vt:variant>
      <vt:variant>
        <vt:i4>1572923</vt:i4>
      </vt:variant>
      <vt:variant>
        <vt:i4>266</vt:i4>
      </vt:variant>
      <vt:variant>
        <vt:i4>0</vt:i4>
      </vt:variant>
      <vt:variant>
        <vt:i4>5</vt:i4>
      </vt:variant>
      <vt:variant>
        <vt:lpwstr/>
      </vt:variant>
      <vt:variant>
        <vt:lpwstr>_Toc188257724</vt:lpwstr>
      </vt:variant>
      <vt:variant>
        <vt:i4>1572923</vt:i4>
      </vt:variant>
      <vt:variant>
        <vt:i4>260</vt:i4>
      </vt:variant>
      <vt:variant>
        <vt:i4>0</vt:i4>
      </vt:variant>
      <vt:variant>
        <vt:i4>5</vt:i4>
      </vt:variant>
      <vt:variant>
        <vt:lpwstr/>
      </vt:variant>
      <vt:variant>
        <vt:lpwstr>_Toc188257723</vt:lpwstr>
      </vt:variant>
      <vt:variant>
        <vt:i4>1572923</vt:i4>
      </vt:variant>
      <vt:variant>
        <vt:i4>254</vt:i4>
      </vt:variant>
      <vt:variant>
        <vt:i4>0</vt:i4>
      </vt:variant>
      <vt:variant>
        <vt:i4>5</vt:i4>
      </vt:variant>
      <vt:variant>
        <vt:lpwstr/>
      </vt:variant>
      <vt:variant>
        <vt:lpwstr>_Toc188257722</vt:lpwstr>
      </vt:variant>
      <vt:variant>
        <vt:i4>1572923</vt:i4>
      </vt:variant>
      <vt:variant>
        <vt:i4>248</vt:i4>
      </vt:variant>
      <vt:variant>
        <vt:i4>0</vt:i4>
      </vt:variant>
      <vt:variant>
        <vt:i4>5</vt:i4>
      </vt:variant>
      <vt:variant>
        <vt:lpwstr/>
      </vt:variant>
      <vt:variant>
        <vt:lpwstr>_Toc188257721</vt:lpwstr>
      </vt:variant>
      <vt:variant>
        <vt:i4>1572923</vt:i4>
      </vt:variant>
      <vt:variant>
        <vt:i4>242</vt:i4>
      </vt:variant>
      <vt:variant>
        <vt:i4>0</vt:i4>
      </vt:variant>
      <vt:variant>
        <vt:i4>5</vt:i4>
      </vt:variant>
      <vt:variant>
        <vt:lpwstr/>
      </vt:variant>
      <vt:variant>
        <vt:lpwstr>_Toc188257720</vt:lpwstr>
      </vt:variant>
      <vt:variant>
        <vt:i4>1769531</vt:i4>
      </vt:variant>
      <vt:variant>
        <vt:i4>236</vt:i4>
      </vt:variant>
      <vt:variant>
        <vt:i4>0</vt:i4>
      </vt:variant>
      <vt:variant>
        <vt:i4>5</vt:i4>
      </vt:variant>
      <vt:variant>
        <vt:lpwstr/>
      </vt:variant>
      <vt:variant>
        <vt:lpwstr>_Toc188257719</vt:lpwstr>
      </vt:variant>
      <vt:variant>
        <vt:i4>1769531</vt:i4>
      </vt:variant>
      <vt:variant>
        <vt:i4>230</vt:i4>
      </vt:variant>
      <vt:variant>
        <vt:i4>0</vt:i4>
      </vt:variant>
      <vt:variant>
        <vt:i4>5</vt:i4>
      </vt:variant>
      <vt:variant>
        <vt:lpwstr/>
      </vt:variant>
      <vt:variant>
        <vt:lpwstr>_Toc188257718</vt:lpwstr>
      </vt:variant>
      <vt:variant>
        <vt:i4>1769531</vt:i4>
      </vt:variant>
      <vt:variant>
        <vt:i4>224</vt:i4>
      </vt:variant>
      <vt:variant>
        <vt:i4>0</vt:i4>
      </vt:variant>
      <vt:variant>
        <vt:i4>5</vt:i4>
      </vt:variant>
      <vt:variant>
        <vt:lpwstr/>
      </vt:variant>
      <vt:variant>
        <vt:lpwstr>_Toc188257717</vt:lpwstr>
      </vt:variant>
      <vt:variant>
        <vt:i4>1769531</vt:i4>
      </vt:variant>
      <vt:variant>
        <vt:i4>218</vt:i4>
      </vt:variant>
      <vt:variant>
        <vt:i4>0</vt:i4>
      </vt:variant>
      <vt:variant>
        <vt:i4>5</vt:i4>
      </vt:variant>
      <vt:variant>
        <vt:lpwstr/>
      </vt:variant>
      <vt:variant>
        <vt:lpwstr>_Toc188257716</vt:lpwstr>
      </vt:variant>
      <vt:variant>
        <vt:i4>1769531</vt:i4>
      </vt:variant>
      <vt:variant>
        <vt:i4>212</vt:i4>
      </vt:variant>
      <vt:variant>
        <vt:i4>0</vt:i4>
      </vt:variant>
      <vt:variant>
        <vt:i4>5</vt:i4>
      </vt:variant>
      <vt:variant>
        <vt:lpwstr/>
      </vt:variant>
      <vt:variant>
        <vt:lpwstr>_Toc188257715</vt:lpwstr>
      </vt:variant>
      <vt:variant>
        <vt:i4>1769531</vt:i4>
      </vt:variant>
      <vt:variant>
        <vt:i4>206</vt:i4>
      </vt:variant>
      <vt:variant>
        <vt:i4>0</vt:i4>
      </vt:variant>
      <vt:variant>
        <vt:i4>5</vt:i4>
      </vt:variant>
      <vt:variant>
        <vt:lpwstr/>
      </vt:variant>
      <vt:variant>
        <vt:lpwstr>_Toc188257714</vt:lpwstr>
      </vt:variant>
      <vt:variant>
        <vt:i4>1769531</vt:i4>
      </vt:variant>
      <vt:variant>
        <vt:i4>200</vt:i4>
      </vt:variant>
      <vt:variant>
        <vt:i4>0</vt:i4>
      </vt:variant>
      <vt:variant>
        <vt:i4>5</vt:i4>
      </vt:variant>
      <vt:variant>
        <vt:lpwstr/>
      </vt:variant>
      <vt:variant>
        <vt:lpwstr>_Toc188257713</vt:lpwstr>
      </vt:variant>
      <vt:variant>
        <vt:i4>1769531</vt:i4>
      </vt:variant>
      <vt:variant>
        <vt:i4>194</vt:i4>
      </vt:variant>
      <vt:variant>
        <vt:i4>0</vt:i4>
      </vt:variant>
      <vt:variant>
        <vt:i4>5</vt:i4>
      </vt:variant>
      <vt:variant>
        <vt:lpwstr/>
      </vt:variant>
      <vt:variant>
        <vt:lpwstr>_Toc188257712</vt:lpwstr>
      </vt:variant>
      <vt:variant>
        <vt:i4>1769531</vt:i4>
      </vt:variant>
      <vt:variant>
        <vt:i4>188</vt:i4>
      </vt:variant>
      <vt:variant>
        <vt:i4>0</vt:i4>
      </vt:variant>
      <vt:variant>
        <vt:i4>5</vt:i4>
      </vt:variant>
      <vt:variant>
        <vt:lpwstr/>
      </vt:variant>
      <vt:variant>
        <vt:lpwstr>_Toc188257711</vt:lpwstr>
      </vt:variant>
      <vt:variant>
        <vt:i4>1769531</vt:i4>
      </vt:variant>
      <vt:variant>
        <vt:i4>182</vt:i4>
      </vt:variant>
      <vt:variant>
        <vt:i4>0</vt:i4>
      </vt:variant>
      <vt:variant>
        <vt:i4>5</vt:i4>
      </vt:variant>
      <vt:variant>
        <vt:lpwstr/>
      </vt:variant>
      <vt:variant>
        <vt:lpwstr>_Toc188257710</vt:lpwstr>
      </vt:variant>
      <vt:variant>
        <vt:i4>1703995</vt:i4>
      </vt:variant>
      <vt:variant>
        <vt:i4>176</vt:i4>
      </vt:variant>
      <vt:variant>
        <vt:i4>0</vt:i4>
      </vt:variant>
      <vt:variant>
        <vt:i4>5</vt:i4>
      </vt:variant>
      <vt:variant>
        <vt:lpwstr/>
      </vt:variant>
      <vt:variant>
        <vt:lpwstr>_Toc188257709</vt:lpwstr>
      </vt:variant>
      <vt:variant>
        <vt:i4>1703995</vt:i4>
      </vt:variant>
      <vt:variant>
        <vt:i4>170</vt:i4>
      </vt:variant>
      <vt:variant>
        <vt:i4>0</vt:i4>
      </vt:variant>
      <vt:variant>
        <vt:i4>5</vt:i4>
      </vt:variant>
      <vt:variant>
        <vt:lpwstr/>
      </vt:variant>
      <vt:variant>
        <vt:lpwstr>_Toc188257708</vt:lpwstr>
      </vt:variant>
      <vt:variant>
        <vt:i4>1703995</vt:i4>
      </vt:variant>
      <vt:variant>
        <vt:i4>164</vt:i4>
      </vt:variant>
      <vt:variant>
        <vt:i4>0</vt:i4>
      </vt:variant>
      <vt:variant>
        <vt:i4>5</vt:i4>
      </vt:variant>
      <vt:variant>
        <vt:lpwstr/>
      </vt:variant>
      <vt:variant>
        <vt:lpwstr>_Toc188257707</vt:lpwstr>
      </vt:variant>
      <vt:variant>
        <vt:i4>1703995</vt:i4>
      </vt:variant>
      <vt:variant>
        <vt:i4>158</vt:i4>
      </vt:variant>
      <vt:variant>
        <vt:i4>0</vt:i4>
      </vt:variant>
      <vt:variant>
        <vt:i4>5</vt:i4>
      </vt:variant>
      <vt:variant>
        <vt:lpwstr/>
      </vt:variant>
      <vt:variant>
        <vt:lpwstr>_Toc188257706</vt:lpwstr>
      </vt:variant>
      <vt:variant>
        <vt:i4>1703995</vt:i4>
      </vt:variant>
      <vt:variant>
        <vt:i4>152</vt:i4>
      </vt:variant>
      <vt:variant>
        <vt:i4>0</vt:i4>
      </vt:variant>
      <vt:variant>
        <vt:i4>5</vt:i4>
      </vt:variant>
      <vt:variant>
        <vt:lpwstr/>
      </vt:variant>
      <vt:variant>
        <vt:lpwstr>_Toc188257705</vt:lpwstr>
      </vt:variant>
      <vt:variant>
        <vt:i4>1703995</vt:i4>
      </vt:variant>
      <vt:variant>
        <vt:i4>146</vt:i4>
      </vt:variant>
      <vt:variant>
        <vt:i4>0</vt:i4>
      </vt:variant>
      <vt:variant>
        <vt:i4>5</vt:i4>
      </vt:variant>
      <vt:variant>
        <vt:lpwstr/>
      </vt:variant>
      <vt:variant>
        <vt:lpwstr>_Toc188257704</vt:lpwstr>
      </vt:variant>
      <vt:variant>
        <vt:i4>1703995</vt:i4>
      </vt:variant>
      <vt:variant>
        <vt:i4>140</vt:i4>
      </vt:variant>
      <vt:variant>
        <vt:i4>0</vt:i4>
      </vt:variant>
      <vt:variant>
        <vt:i4>5</vt:i4>
      </vt:variant>
      <vt:variant>
        <vt:lpwstr/>
      </vt:variant>
      <vt:variant>
        <vt:lpwstr>_Toc188257703</vt:lpwstr>
      </vt:variant>
      <vt:variant>
        <vt:i4>1703995</vt:i4>
      </vt:variant>
      <vt:variant>
        <vt:i4>134</vt:i4>
      </vt:variant>
      <vt:variant>
        <vt:i4>0</vt:i4>
      </vt:variant>
      <vt:variant>
        <vt:i4>5</vt:i4>
      </vt:variant>
      <vt:variant>
        <vt:lpwstr/>
      </vt:variant>
      <vt:variant>
        <vt:lpwstr>_Toc188257702</vt:lpwstr>
      </vt:variant>
      <vt:variant>
        <vt:i4>1703995</vt:i4>
      </vt:variant>
      <vt:variant>
        <vt:i4>128</vt:i4>
      </vt:variant>
      <vt:variant>
        <vt:i4>0</vt:i4>
      </vt:variant>
      <vt:variant>
        <vt:i4>5</vt:i4>
      </vt:variant>
      <vt:variant>
        <vt:lpwstr/>
      </vt:variant>
      <vt:variant>
        <vt:lpwstr>_Toc188257701</vt:lpwstr>
      </vt:variant>
      <vt:variant>
        <vt:i4>1703995</vt:i4>
      </vt:variant>
      <vt:variant>
        <vt:i4>122</vt:i4>
      </vt:variant>
      <vt:variant>
        <vt:i4>0</vt:i4>
      </vt:variant>
      <vt:variant>
        <vt:i4>5</vt:i4>
      </vt:variant>
      <vt:variant>
        <vt:lpwstr/>
      </vt:variant>
      <vt:variant>
        <vt:lpwstr>_Toc188257700</vt:lpwstr>
      </vt:variant>
      <vt:variant>
        <vt:i4>1245242</vt:i4>
      </vt:variant>
      <vt:variant>
        <vt:i4>116</vt:i4>
      </vt:variant>
      <vt:variant>
        <vt:i4>0</vt:i4>
      </vt:variant>
      <vt:variant>
        <vt:i4>5</vt:i4>
      </vt:variant>
      <vt:variant>
        <vt:lpwstr/>
      </vt:variant>
      <vt:variant>
        <vt:lpwstr>_Toc188257699</vt:lpwstr>
      </vt:variant>
      <vt:variant>
        <vt:i4>1245242</vt:i4>
      </vt:variant>
      <vt:variant>
        <vt:i4>110</vt:i4>
      </vt:variant>
      <vt:variant>
        <vt:i4>0</vt:i4>
      </vt:variant>
      <vt:variant>
        <vt:i4>5</vt:i4>
      </vt:variant>
      <vt:variant>
        <vt:lpwstr/>
      </vt:variant>
      <vt:variant>
        <vt:lpwstr>_Toc188257698</vt:lpwstr>
      </vt:variant>
      <vt:variant>
        <vt:i4>1245242</vt:i4>
      </vt:variant>
      <vt:variant>
        <vt:i4>104</vt:i4>
      </vt:variant>
      <vt:variant>
        <vt:i4>0</vt:i4>
      </vt:variant>
      <vt:variant>
        <vt:i4>5</vt:i4>
      </vt:variant>
      <vt:variant>
        <vt:lpwstr/>
      </vt:variant>
      <vt:variant>
        <vt:lpwstr>_Toc188257697</vt:lpwstr>
      </vt:variant>
      <vt:variant>
        <vt:i4>1245242</vt:i4>
      </vt:variant>
      <vt:variant>
        <vt:i4>98</vt:i4>
      </vt:variant>
      <vt:variant>
        <vt:i4>0</vt:i4>
      </vt:variant>
      <vt:variant>
        <vt:i4>5</vt:i4>
      </vt:variant>
      <vt:variant>
        <vt:lpwstr/>
      </vt:variant>
      <vt:variant>
        <vt:lpwstr>_Toc188257696</vt:lpwstr>
      </vt:variant>
      <vt:variant>
        <vt:i4>1245242</vt:i4>
      </vt:variant>
      <vt:variant>
        <vt:i4>92</vt:i4>
      </vt:variant>
      <vt:variant>
        <vt:i4>0</vt:i4>
      </vt:variant>
      <vt:variant>
        <vt:i4>5</vt:i4>
      </vt:variant>
      <vt:variant>
        <vt:lpwstr/>
      </vt:variant>
      <vt:variant>
        <vt:lpwstr>_Toc188257695</vt:lpwstr>
      </vt:variant>
      <vt:variant>
        <vt:i4>1245242</vt:i4>
      </vt:variant>
      <vt:variant>
        <vt:i4>86</vt:i4>
      </vt:variant>
      <vt:variant>
        <vt:i4>0</vt:i4>
      </vt:variant>
      <vt:variant>
        <vt:i4>5</vt:i4>
      </vt:variant>
      <vt:variant>
        <vt:lpwstr/>
      </vt:variant>
      <vt:variant>
        <vt:lpwstr>_Toc188257694</vt:lpwstr>
      </vt:variant>
      <vt:variant>
        <vt:i4>1245242</vt:i4>
      </vt:variant>
      <vt:variant>
        <vt:i4>80</vt:i4>
      </vt:variant>
      <vt:variant>
        <vt:i4>0</vt:i4>
      </vt:variant>
      <vt:variant>
        <vt:i4>5</vt:i4>
      </vt:variant>
      <vt:variant>
        <vt:lpwstr/>
      </vt:variant>
      <vt:variant>
        <vt:lpwstr>_Toc188257693</vt:lpwstr>
      </vt:variant>
      <vt:variant>
        <vt:i4>1245242</vt:i4>
      </vt:variant>
      <vt:variant>
        <vt:i4>74</vt:i4>
      </vt:variant>
      <vt:variant>
        <vt:i4>0</vt:i4>
      </vt:variant>
      <vt:variant>
        <vt:i4>5</vt:i4>
      </vt:variant>
      <vt:variant>
        <vt:lpwstr/>
      </vt:variant>
      <vt:variant>
        <vt:lpwstr>_Toc188257692</vt:lpwstr>
      </vt:variant>
      <vt:variant>
        <vt:i4>1245242</vt:i4>
      </vt:variant>
      <vt:variant>
        <vt:i4>68</vt:i4>
      </vt:variant>
      <vt:variant>
        <vt:i4>0</vt:i4>
      </vt:variant>
      <vt:variant>
        <vt:i4>5</vt:i4>
      </vt:variant>
      <vt:variant>
        <vt:lpwstr/>
      </vt:variant>
      <vt:variant>
        <vt:lpwstr>_Toc188257691</vt:lpwstr>
      </vt:variant>
      <vt:variant>
        <vt:i4>1245242</vt:i4>
      </vt:variant>
      <vt:variant>
        <vt:i4>62</vt:i4>
      </vt:variant>
      <vt:variant>
        <vt:i4>0</vt:i4>
      </vt:variant>
      <vt:variant>
        <vt:i4>5</vt:i4>
      </vt:variant>
      <vt:variant>
        <vt:lpwstr/>
      </vt:variant>
      <vt:variant>
        <vt:lpwstr>_Toc188257690</vt:lpwstr>
      </vt:variant>
      <vt:variant>
        <vt:i4>1179706</vt:i4>
      </vt:variant>
      <vt:variant>
        <vt:i4>56</vt:i4>
      </vt:variant>
      <vt:variant>
        <vt:i4>0</vt:i4>
      </vt:variant>
      <vt:variant>
        <vt:i4>5</vt:i4>
      </vt:variant>
      <vt:variant>
        <vt:lpwstr/>
      </vt:variant>
      <vt:variant>
        <vt:lpwstr>_Toc188257689</vt:lpwstr>
      </vt:variant>
      <vt:variant>
        <vt:i4>1179706</vt:i4>
      </vt:variant>
      <vt:variant>
        <vt:i4>50</vt:i4>
      </vt:variant>
      <vt:variant>
        <vt:i4>0</vt:i4>
      </vt:variant>
      <vt:variant>
        <vt:i4>5</vt:i4>
      </vt:variant>
      <vt:variant>
        <vt:lpwstr/>
      </vt:variant>
      <vt:variant>
        <vt:lpwstr>_Toc188257688</vt:lpwstr>
      </vt:variant>
      <vt:variant>
        <vt:i4>1179706</vt:i4>
      </vt:variant>
      <vt:variant>
        <vt:i4>44</vt:i4>
      </vt:variant>
      <vt:variant>
        <vt:i4>0</vt:i4>
      </vt:variant>
      <vt:variant>
        <vt:i4>5</vt:i4>
      </vt:variant>
      <vt:variant>
        <vt:lpwstr/>
      </vt:variant>
      <vt:variant>
        <vt:lpwstr>_Toc188257687</vt:lpwstr>
      </vt:variant>
      <vt:variant>
        <vt:i4>1179706</vt:i4>
      </vt:variant>
      <vt:variant>
        <vt:i4>38</vt:i4>
      </vt:variant>
      <vt:variant>
        <vt:i4>0</vt:i4>
      </vt:variant>
      <vt:variant>
        <vt:i4>5</vt:i4>
      </vt:variant>
      <vt:variant>
        <vt:lpwstr/>
      </vt:variant>
      <vt:variant>
        <vt:lpwstr>_Toc188257686</vt:lpwstr>
      </vt:variant>
      <vt:variant>
        <vt:i4>1179706</vt:i4>
      </vt:variant>
      <vt:variant>
        <vt:i4>32</vt:i4>
      </vt:variant>
      <vt:variant>
        <vt:i4>0</vt:i4>
      </vt:variant>
      <vt:variant>
        <vt:i4>5</vt:i4>
      </vt:variant>
      <vt:variant>
        <vt:lpwstr/>
      </vt:variant>
      <vt:variant>
        <vt:lpwstr>_Toc188257685</vt:lpwstr>
      </vt:variant>
      <vt:variant>
        <vt:i4>1179706</vt:i4>
      </vt:variant>
      <vt:variant>
        <vt:i4>26</vt:i4>
      </vt:variant>
      <vt:variant>
        <vt:i4>0</vt:i4>
      </vt:variant>
      <vt:variant>
        <vt:i4>5</vt:i4>
      </vt:variant>
      <vt:variant>
        <vt:lpwstr/>
      </vt:variant>
      <vt:variant>
        <vt:lpwstr>_Toc188257684</vt:lpwstr>
      </vt:variant>
      <vt:variant>
        <vt:i4>1179706</vt:i4>
      </vt:variant>
      <vt:variant>
        <vt:i4>20</vt:i4>
      </vt:variant>
      <vt:variant>
        <vt:i4>0</vt:i4>
      </vt:variant>
      <vt:variant>
        <vt:i4>5</vt:i4>
      </vt:variant>
      <vt:variant>
        <vt:lpwstr/>
      </vt:variant>
      <vt:variant>
        <vt:lpwstr>_Toc188257683</vt:lpwstr>
      </vt:variant>
      <vt:variant>
        <vt:i4>1179706</vt:i4>
      </vt:variant>
      <vt:variant>
        <vt:i4>14</vt:i4>
      </vt:variant>
      <vt:variant>
        <vt:i4>0</vt:i4>
      </vt:variant>
      <vt:variant>
        <vt:i4>5</vt:i4>
      </vt:variant>
      <vt:variant>
        <vt:lpwstr/>
      </vt:variant>
      <vt:variant>
        <vt:lpwstr>_Toc188257682</vt:lpwstr>
      </vt:variant>
      <vt:variant>
        <vt:i4>1179706</vt:i4>
      </vt:variant>
      <vt:variant>
        <vt:i4>8</vt:i4>
      </vt:variant>
      <vt:variant>
        <vt:i4>0</vt:i4>
      </vt:variant>
      <vt:variant>
        <vt:i4>5</vt:i4>
      </vt:variant>
      <vt:variant>
        <vt:lpwstr/>
      </vt:variant>
      <vt:variant>
        <vt:lpwstr>_Toc188257681</vt:lpwstr>
      </vt:variant>
      <vt:variant>
        <vt:i4>1179706</vt:i4>
      </vt:variant>
      <vt:variant>
        <vt:i4>2</vt:i4>
      </vt:variant>
      <vt:variant>
        <vt:i4>0</vt:i4>
      </vt:variant>
      <vt:variant>
        <vt:i4>5</vt:i4>
      </vt:variant>
      <vt:variant>
        <vt:lpwstr/>
      </vt:variant>
      <vt:variant>
        <vt:lpwstr>_Toc188257680</vt:lpwstr>
      </vt:variant>
      <vt:variant>
        <vt:i4>4128794</vt:i4>
      </vt:variant>
      <vt:variant>
        <vt:i4>57</vt:i4>
      </vt:variant>
      <vt:variant>
        <vt:i4>0</vt:i4>
      </vt:variant>
      <vt:variant>
        <vt:i4>5</vt:i4>
      </vt:variant>
      <vt:variant>
        <vt:lpwstr>mailto:MJBOCK@SOUTHERNCO.COM</vt:lpwstr>
      </vt:variant>
      <vt:variant>
        <vt:lpwstr/>
      </vt:variant>
      <vt:variant>
        <vt:i4>5570657</vt:i4>
      </vt:variant>
      <vt:variant>
        <vt:i4>54</vt:i4>
      </vt:variant>
      <vt:variant>
        <vt:i4>0</vt:i4>
      </vt:variant>
      <vt:variant>
        <vt:i4>5</vt:i4>
      </vt:variant>
      <vt:variant>
        <vt:lpwstr>mailto:PMSTONE@SOUTHERNCO.COM</vt:lpwstr>
      </vt:variant>
      <vt:variant>
        <vt:lpwstr/>
      </vt:variant>
      <vt:variant>
        <vt:i4>5636200</vt:i4>
      </vt:variant>
      <vt:variant>
        <vt:i4>51</vt:i4>
      </vt:variant>
      <vt:variant>
        <vt:i4>0</vt:i4>
      </vt:variant>
      <vt:variant>
        <vt:i4>5</vt:i4>
      </vt:variant>
      <vt:variant>
        <vt:lpwstr>mailto:JDSNYDER@southernco.com</vt:lpwstr>
      </vt:variant>
      <vt:variant>
        <vt:lpwstr/>
      </vt:variant>
      <vt:variant>
        <vt:i4>5636200</vt:i4>
      </vt:variant>
      <vt:variant>
        <vt:i4>48</vt:i4>
      </vt:variant>
      <vt:variant>
        <vt:i4>0</vt:i4>
      </vt:variant>
      <vt:variant>
        <vt:i4>5</vt:i4>
      </vt:variant>
      <vt:variant>
        <vt:lpwstr>mailto:JDSNYDER@southernco.com</vt:lpwstr>
      </vt:variant>
      <vt:variant>
        <vt:lpwstr/>
      </vt:variant>
      <vt:variant>
        <vt:i4>3670027</vt:i4>
      </vt:variant>
      <vt:variant>
        <vt:i4>45</vt:i4>
      </vt:variant>
      <vt:variant>
        <vt:i4>0</vt:i4>
      </vt:variant>
      <vt:variant>
        <vt:i4>5</vt:i4>
      </vt:variant>
      <vt:variant>
        <vt:lpwstr>mailto:FVALLE@southernco.com</vt:lpwstr>
      </vt:variant>
      <vt:variant>
        <vt:lpwstr/>
      </vt:variant>
      <vt:variant>
        <vt:i4>5570657</vt:i4>
      </vt:variant>
      <vt:variant>
        <vt:i4>42</vt:i4>
      </vt:variant>
      <vt:variant>
        <vt:i4>0</vt:i4>
      </vt:variant>
      <vt:variant>
        <vt:i4>5</vt:i4>
      </vt:variant>
      <vt:variant>
        <vt:lpwstr>mailto:PMSTONE@SOUTHERNCO.COM</vt:lpwstr>
      </vt:variant>
      <vt:variant>
        <vt:lpwstr/>
      </vt:variant>
      <vt:variant>
        <vt:i4>5570657</vt:i4>
      </vt:variant>
      <vt:variant>
        <vt:i4>39</vt:i4>
      </vt:variant>
      <vt:variant>
        <vt:i4>0</vt:i4>
      </vt:variant>
      <vt:variant>
        <vt:i4>5</vt:i4>
      </vt:variant>
      <vt:variant>
        <vt:lpwstr>mailto:PMSTONE@SOUTHERNCO.COM</vt:lpwstr>
      </vt:variant>
      <vt:variant>
        <vt:lpwstr/>
      </vt:variant>
      <vt:variant>
        <vt:i4>5570657</vt:i4>
      </vt:variant>
      <vt:variant>
        <vt:i4>36</vt:i4>
      </vt:variant>
      <vt:variant>
        <vt:i4>0</vt:i4>
      </vt:variant>
      <vt:variant>
        <vt:i4>5</vt:i4>
      </vt:variant>
      <vt:variant>
        <vt:lpwstr>mailto:PMSTONE@SOUTHERNCO.COM</vt:lpwstr>
      </vt:variant>
      <vt:variant>
        <vt:lpwstr/>
      </vt:variant>
      <vt:variant>
        <vt:i4>5636200</vt:i4>
      </vt:variant>
      <vt:variant>
        <vt:i4>33</vt:i4>
      </vt:variant>
      <vt:variant>
        <vt:i4>0</vt:i4>
      </vt:variant>
      <vt:variant>
        <vt:i4>5</vt:i4>
      </vt:variant>
      <vt:variant>
        <vt:lpwstr>mailto:JDSNYDER@southernco.com</vt:lpwstr>
      </vt:variant>
      <vt:variant>
        <vt:lpwstr/>
      </vt:variant>
      <vt:variant>
        <vt:i4>5570657</vt:i4>
      </vt:variant>
      <vt:variant>
        <vt:i4>30</vt:i4>
      </vt:variant>
      <vt:variant>
        <vt:i4>0</vt:i4>
      </vt:variant>
      <vt:variant>
        <vt:i4>5</vt:i4>
      </vt:variant>
      <vt:variant>
        <vt:lpwstr>mailto:PMSTONE@SOUTHERNCO.COM</vt:lpwstr>
      </vt:variant>
      <vt:variant>
        <vt:lpwstr/>
      </vt:variant>
      <vt:variant>
        <vt:i4>5570657</vt:i4>
      </vt:variant>
      <vt:variant>
        <vt:i4>27</vt:i4>
      </vt:variant>
      <vt:variant>
        <vt:i4>0</vt:i4>
      </vt:variant>
      <vt:variant>
        <vt:i4>5</vt:i4>
      </vt:variant>
      <vt:variant>
        <vt:lpwstr>mailto:PMSTONE@SOUTHERNCO.COM</vt:lpwstr>
      </vt:variant>
      <vt:variant>
        <vt:lpwstr/>
      </vt:variant>
      <vt:variant>
        <vt:i4>5570657</vt:i4>
      </vt:variant>
      <vt:variant>
        <vt:i4>24</vt:i4>
      </vt:variant>
      <vt:variant>
        <vt:i4>0</vt:i4>
      </vt:variant>
      <vt:variant>
        <vt:i4>5</vt:i4>
      </vt:variant>
      <vt:variant>
        <vt:lpwstr>mailto:PMSTONE@SOUTHERNCO.COM</vt:lpwstr>
      </vt:variant>
      <vt:variant>
        <vt:lpwstr/>
      </vt:variant>
      <vt:variant>
        <vt:i4>3670027</vt:i4>
      </vt:variant>
      <vt:variant>
        <vt:i4>21</vt:i4>
      </vt:variant>
      <vt:variant>
        <vt:i4>0</vt:i4>
      </vt:variant>
      <vt:variant>
        <vt:i4>5</vt:i4>
      </vt:variant>
      <vt:variant>
        <vt:lpwstr>mailto:FVALLE@southernco.com</vt:lpwstr>
      </vt:variant>
      <vt:variant>
        <vt:lpwstr/>
      </vt:variant>
      <vt:variant>
        <vt:i4>3670027</vt:i4>
      </vt:variant>
      <vt:variant>
        <vt:i4>18</vt:i4>
      </vt:variant>
      <vt:variant>
        <vt:i4>0</vt:i4>
      </vt:variant>
      <vt:variant>
        <vt:i4>5</vt:i4>
      </vt:variant>
      <vt:variant>
        <vt:lpwstr>mailto:FVALLE@southernco.com</vt:lpwstr>
      </vt:variant>
      <vt:variant>
        <vt:lpwstr/>
      </vt:variant>
      <vt:variant>
        <vt:i4>5570657</vt:i4>
      </vt:variant>
      <vt:variant>
        <vt:i4>15</vt:i4>
      </vt:variant>
      <vt:variant>
        <vt:i4>0</vt:i4>
      </vt:variant>
      <vt:variant>
        <vt:i4>5</vt:i4>
      </vt:variant>
      <vt:variant>
        <vt:lpwstr>mailto:PMSTONE@SOUTHERNCO.COM</vt:lpwstr>
      </vt:variant>
      <vt:variant>
        <vt:lpwstr/>
      </vt:variant>
      <vt:variant>
        <vt:i4>5636200</vt:i4>
      </vt:variant>
      <vt:variant>
        <vt:i4>12</vt:i4>
      </vt:variant>
      <vt:variant>
        <vt:i4>0</vt:i4>
      </vt:variant>
      <vt:variant>
        <vt:i4>5</vt:i4>
      </vt:variant>
      <vt:variant>
        <vt:lpwstr>mailto:JDSNYDER@southernco.com</vt:lpwstr>
      </vt:variant>
      <vt:variant>
        <vt:lpwstr/>
      </vt:variant>
      <vt:variant>
        <vt:i4>5570657</vt:i4>
      </vt:variant>
      <vt:variant>
        <vt:i4>9</vt:i4>
      </vt:variant>
      <vt:variant>
        <vt:i4>0</vt:i4>
      </vt:variant>
      <vt:variant>
        <vt:i4>5</vt:i4>
      </vt:variant>
      <vt:variant>
        <vt:lpwstr>mailto:PMSTONE@SOUTHERNCO.COM</vt:lpwstr>
      </vt:variant>
      <vt:variant>
        <vt:lpwstr/>
      </vt:variant>
      <vt:variant>
        <vt:i4>4128794</vt:i4>
      </vt:variant>
      <vt:variant>
        <vt:i4>6</vt:i4>
      </vt:variant>
      <vt:variant>
        <vt:i4>0</vt:i4>
      </vt:variant>
      <vt:variant>
        <vt:i4>5</vt:i4>
      </vt:variant>
      <vt:variant>
        <vt:lpwstr>mailto:MJBOCK@SOUTHERNCO.COM</vt:lpwstr>
      </vt:variant>
      <vt:variant>
        <vt:lpwstr/>
      </vt:variant>
      <vt:variant>
        <vt:i4>4128794</vt:i4>
      </vt:variant>
      <vt:variant>
        <vt:i4>3</vt:i4>
      </vt:variant>
      <vt:variant>
        <vt:i4>0</vt:i4>
      </vt:variant>
      <vt:variant>
        <vt:i4>5</vt:i4>
      </vt:variant>
      <vt:variant>
        <vt:lpwstr>mailto:MJBOCK@SOUTHERNCO.COM</vt:lpwstr>
      </vt:variant>
      <vt:variant>
        <vt:lpwstr/>
      </vt:variant>
      <vt:variant>
        <vt:i4>5636200</vt:i4>
      </vt:variant>
      <vt:variant>
        <vt:i4>0</vt:i4>
      </vt:variant>
      <vt:variant>
        <vt:i4>0</vt:i4>
      </vt:variant>
      <vt:variant>
        <vt:i4>5</vt:i4>
      </vt:variant>
      <vt:variant>
        <vt:lpwstr>mailto:JDSNYDER@southernco.com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2025-01-31T01:50:00Z</dcterms:created>
  <dcterms:modified xsi:type="dcterms:W3CDTF">2025-01-31T01:50:00Z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MSIP_Label_ed3826ce-7c18-471d-9596-93de5bae332e_Enabled">
    <vt:lpwstr>true</vt:lpwstr>
  </property>
  <property fmtid="{D5CDD505-2E9C-101B-9397-08002B2CF9AE}" pid="4" name="MSIP_Label_ed3826ce-7c18-471d-9596-93de5bae332e_SetDate">
    <vt:lpwstr>2025-01-31T01:50:11Z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da30bf94-2746-42ab-ac4d-5f0d90bd76e3</vt:lpwstr>
  </property>
  <property fmtid="{D5CDD505-2E9C-101B-9397-08002B2CF9AE}" pid="9" name="MSIP_Label_ed3826ce-7c18-471d-9596-93de5bae332e_ContentBits">
    <vt:lpwstr>0</vt:lpwstr>
  </property>
</Properties>
</file>